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B </w:t>
            </w:r>
            <w:r>
              <w:rPr>
                <w:rFonts w:hint="eastAsia" w:ascii="黑体" w:hAnsi="黑体" w:eastAsia="黑体"/>
                <w:sz w:val="21"/>
                <w:szCs w:val="21"/>
              </w:rPr>
              <w:t>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w:t>
      </w:r>
      <w:r>
        <w:rPr>
          <w:rFonts w:hint="eastAsia" w:ascii="黑体" w:eastAsia="黑体"/>
          <w:b w:val="0"/>
          <w:w w:val="100"/>
          <w:sz w:val="48"/>
        </w:rPr>
        <w:t>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1289</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w:t>
      </w:r>
      <w:r>
        <w:rPr>
          <w:rFonts w:hint="eastAsia" w:hAnsi="黑体"/>
        </w:rPr>
        <w:t>14</w:t>
      </w:r>
      <w:r>
        <w:rPr>
          <w:rFonts w:hAnsi="黑体"/>
        </w:rPr>
        <w:t xml:space="preserve">/T </w:t>
      </w:r>
      <w:r>
        <w:rPr>
          <w:rFonts w:hint="eastAsia" w:hAnsi="黑体"/>
        </w:rPr>
        <w:t>2016—2024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w:t>
      </w:r>
      <w:r>
        <w:cr/>
      </w:r>
      <w:r>
        <w:t>塑料大棚番茄</w:t>
      </w:r>
      <w:r>
        <w:fldChar w:fldCharType="end"/>
      </w:r>
      <w:bookmarkEnd w:id="9"/>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"_Toc164872867" </w:instrText>
      </w:r>
      <w:r>
        <w:fldChar w:fldCharType="separate"/>
      </w:r>
      <w:r>
        <w:rPr>
          <w:rStyle w:val="32"/>
        </w:rPr>
        <w:t>前言</w:t>
      </w:r>
      <w:r>
        <w:tab/>
      </w:r>
      <w:r>
        <w:fldChar w:fldCharType="begin"/>
      </w:r>
      <w:r>
        <w:instrText xml:space="preserve"> PAGEREF _Toc164872867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"_Toc164872868" </w:instrText>
      </w:r>
      <w:r>
        <w:fldChar w:fldCharType="separate"/>
      </w:r>
      <w:r>
        <w:rPr>
          <w:rStyle w:val="32"/>
        </w:rPr>
        <w:t>1  范围</w:t>
      </w:r>
      <w:r>
        <w:tab/>
      </w:r>
      <w:r>
        <w:fldChar w:fldCharType="begin"/>
      </w:r>
      <w:r>
        <w:instrText xml:space="preserve"> PAGEREF _Toc164872868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"_Toc164872869" </w:instrText>
      </w:r>
      <w:r>
        <w:fldChar w:fldCharType="separate"/>
      </w:r>
      <w:r>
        <w:rPr>
          <w:rStyle w:val="32"/>
        </w:rPr>
        <w:t>2  规范性引用文件</w:t>
      </w:r>
      <w:r>
        <w:tab/>
      </w:r>
      <w:r>
        <w:fldChar w:fldCharType="begin"/>
      </w:r>
      <w:r>
        <w:instrText xml:space="preserve"> PAGEREF _Toc164872869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"_Toc164872870" </w:instrText>
      </w:r>
      <w:r>
        <w:fldChar w:fldCharType="separate"/>
      </w:r>
      <w:r>
        <w:rPr>
          <w:rStyle w:val="32"/>
        </w:rPr>
        <w:t>3  术语和定义</w:t>
      </w:r>
      <w:r>
        <w:tab/>
      </w:r>
      <w:r>
        <w:fldChar w:fldCharType="begin"/>
      </w:r>
      <w:r>
        <w:instrText xml:space="preserve"> PAGEREF _Toc164872870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"_Toc164872871" </w:instrText>
      </w:r>
      <w:r>
        <w:fldChar w:fldCharType="separate"/>
      </w:r>
      <w:r>
        <w:rPr>
          <w:rStyle w:val="32"/>
        </w:rPr>
        <w:t>4  塑料大棚结构与性能</w:t>
      </w:r>
      <w:r>
        <w:tab/>
      </w:r>
      <w:r>
        <w:fldChar w:fldCharType="begin"/>
      </w:r>
      <w:r>
        <w:instrText xml:space="preserve"> PAGEREF _Toc164872871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"_Toc164872872" </w:instrText>
      </w:r>
      <w:r>
        <w:fldChar w:fldCharType="separate"/>
      </w:r>
      <w:r>
        <w:rPr>
          <w:rStyle w:val="32"/>
        </w:rPr>
        <w:t>5  茬口安排</w:t>
      </w:r>
      <w:r>
        <w:tab/>
      </w:r>
      <w:r>
        <w:fldChar w:fldCharType="begin"/>
      </w:r>
      <w:r>
        <w:instrText xml:space="preserve"> PAGEREF _Toc164872872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"_Toc164872873" </w:instrText>
      </w:r>
      <w:r>
        <w:fldChar w:fldCharType="separate"/>
      </w:r>
      <w:r>
        <w:rPr>
          <w:rStyle w:val="32"/>
        </w:rPr>
        <w:t>6  种苗</w:t>
      </w:r>
      <w:r>
        <w:tab/>
      </w:r>
      <w:r>
        <w:fldChar w:fldCharType="begin"/>
      </w:r>
      <w:r>
        <w:instrText xml:space="preserve"> PAGEREF _Toc164872873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"_Toc164872874" </w:instrText>
      </w:r>
      <w:r>
        <w:fldChar w:fldCharType="separate"/>
      </w:r>
      <w:r>
        <w:rPr>
          <w:rStyle w:val="32"/>
        </w:rPr>
        <w:t>7  整地施肥</w:t>
      </w:r>
      <w:r>
        <w:tab/>
      </w:r>
      <w:r>
        <w:fldChar w:fldCharType="begin"/>
      </w:r>
      <w:r>
        <w:instrText xml:space="preserve"> PAGEREF _Toc164872874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"_Toc164872875" </w:instrText>
      </w:r>
      <w:r>
        <w:fldChar w:fldCharType="separate"/>
      </w:r>
      <w:r>
        <w:rPr>
          <w:rStyle w:val="32"/>
        </w:rPr>
        <w:t>8  定植</w:t>
      </w:r>
      <w:r>
        <w:tab/>
      </w:r>
      <w:r>
        <w:fldChar w:fldCharType="begin"/>
      </w:r>
      <w:r>
        <w:instrText xml:space="preserve"> PAGEREF _Toc164872875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"_Toc164872876" </w:instrText>
      </w:r>
      <w:r>
        <w:fldChar w:fldCharType="separate"/>
      </w:r>
      <w:r>
        <w:rPr>
          <w:rStyle w:val="32"/>
        </w:rPr>
        <w:t>9  田间管理</w:t>
      </w:r>
      <w:r>
        <w:tab/>
      </w:r>
      <w:r>
        <w:fldChar w:fldCharType="begin"/>
      </w:r>
      <w:r>
        <w:instrText xml:space="preserve"> PAGEREF _Toc164872876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"_Toc164872877" </w:instrText>
      </w:r>
      <w:r>
        <w:fldChar w:fldCharType="separate"/>
      </w:r>
      <w:r>
        <w:rPr>
          <w:rStyle w:val="32"/>
        </w:rPr>
        <w:t>10  二氧化碳施肥</w:t>
      </w:r>
      <w:r>
        <w:tab/>
      </w:r>
      <w:r>
        <w:fldChar w:fldCharType="begin"/>
      </w:r>
      <w:r>
        <w:instrText xml:space="preserve"> PAGEREF _Toc164872877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"_Toc164872878" </w:instrText>
      </w:r>
      <w:r>
        <w:fldChar w:fldCharType="separate"/>
      </w:r>
      <w:r>
        <w:rPr>
          <w:rStyle w:val="32"/>
        </w:rPr>
        <w:t>11  病虫害防治</w:t>
      </w:r>
      <w:r>
        <w:tab/>
      </w:r>
      <w:r>
        <w:fldChar w:fldCharType="begin"/>
      </w:r>
      <w:r>
        <w:instrText xml:space="preserve"> PAGEREF _Toc164872878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"_Toc164872879" </w:instrText>
      </w:r>
      <w:r>
        <w:fldChar w:fldCharType="separate"/>
      </w:r>
      <w:r>
        <w:rPr>
          <w:rStyle w:val="32"/>
        </w:rPr>
        <w:t>12  采收</w:t>
      </w:r>
      <w:r>
        <w:tab/>
      </w:r>
      <w:r>
        <w:fldChar w:fldCharType="begin"/>
      </w:r>
      <w:r>
        <w:instrText xml:space="preserve"> PAGEREF _Toc164872879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"_Toc164872880" </w:instrText>
      </w:r>
      <w:r>
        <w:fldChar w:fldCharType="separate"/>
      </w:r>
      <w:r>
        <w:rPr>
          <w:rStyle w:val="32"/>
        </w:rPr>
        <w:t>13  生产档案</w:t>
      </w:r>
      <w:r>
        <w:tab/>
      </w:r>
      <w:r>
        <w:fldChar w:fldCharType="begin"/>
      </w:r>
      <w:r>
        <w:instrText xml:space="preserve"> PAGEREF _Toc164872880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"_Toc164872881" </w:instrText>
      </w:r>
      <w:r>
        <w:fldChar w:fldCharType="separate"/>
      </w:r>
      <w:r>
        <w:rPr>
          <w:rStyle w:val="32"/>
        </w:rPr>
        <w:t>附录A（资料性）  生产档案</w:t>
      </w:r>
      <w:r>
        <w:tab/>
      </w:r>
      <w:r>
        <w:fldChar w:fldCharType="begin"/>
      </w:r>
      <w:r>
        <w:instrText xml:space="preserve"> PAGEREF _Toc164872881 \h </w:instrText>
      </w:r>
      <w:r>
        <w:fldChar w:fldCharType="separate"/>
      </w:r>
      <w:r>
        <w:t>6</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89"/>
        <w:spacing w:after="468"/>
      </w:pPr>
      <w:bookmarkStart w:id="21" w:name="_Toc164872867"/>
      <w:bookmarkStart w:id="22" w:name="BookMark2"/>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本文件是“设施蔬菜固碳生产技术规程”系列标准之一。本系列标准由以下文件组成：</w:t>
      </w:r>
    </w:p>
    <w:p>
      <w:pPr>
        <w:pStyle w:val="56"/>
        <w:ind w:firstLine="420"/>
      </w:pPr>
      <w:r>
        <w:rPr>
          <w:rFonts w:hint="eastAsia"/>
        </w:rPr>
        <w:t>——DB14/T 1288  设施蔬菜固碳生产技术规程 二氧化碳施肥</w:t>
      </w:r>
    </w:p>
    <w:p>
      <w:pPr>
        <w:pStyle w:val="56"/>
        <w:ind w:firstLine="420"/>
      </w:pPr>
      <w:r>
        <w:rPr>
          <w:rFonts w:hint="eastAsia"/>
        </w:rPr>
        <w:t>——DB14/T 1287  设施蔬菜固碳生产技术规程 日光温室结构与性能</w:t>
      </w:r>
    </w:p>
    <w:p>
      <w:pPr>
        <w:pStyle w:val="56"/>
        <w:ind w:firstLine="420"/>
      </w:pPr>
      <w:r>
        <w:rPr>
          <w:rFonts w:hint="eastAsia"/>
        </w:rPr>
        <w:t>——DB14/T 1281  设施蔬菜固碳生产技术规程 果菜类育苗</w:t>
      </w:r>
    </w:p>
    <w:p>
      <w:pPr>
        <w:pStyle w:val="56"/>
        <w:ind w:firstLine="420"/>
      </w:pPr>
      <w:r>
        <w:rPr>
          <w:rFonts w:hint="eastAsia"/>
        </w:rPr>
        <w:t>——DB14/T 1279  设施蔬菜固碳生产技术规程 日光温室番茄</w:t>
      </w:r>
    </w:p>
    <w:p>
      <w:pPr>
        <w:pStyle w:val="56"/>
        <w:ind w:firstLine="420"/>
      </w:pPr>
      <w:r>
        <w:rPr>
          <w:rFonts w:hint="eastAsia"/>
        </w:rPr>
        <w:t>——DB14/T 1282  设施蔬菜固碳生产技术规程 日光温室黄瓜</w:t>
      </w:r>
    </w:p>
    <w:p>
      <w:pPr>
        <w:pStyle w:val="56"/>
        <w:ind w:firstLine="420"/>
      </w:pPr>
      <w:r>
        <w:rPr>
          <w:rFonts w:hint="eastAsia"/>
        </w:rPr>
        <w:t>——DB14/T 1283  设施蔬菜固碳生产技术规程 日光温室辣椒</w:t>
      </w:r>
    </w:p>
    <w:p>
      <w:pPr>
        <w:pStyle w:val="56"/>
        <w:ind w:firstLine="420"/>
      </w:pPr>
      <w:r>
        <w:rPr>
          <w:rFonts w:hint="eastAsia"/>
        </w:rPr>
        <w:t>——DB14/T 1284  设施蔬菜固碳生产技术规程 日光温室胡萝卜</w:t>
      </w:r>
    </w:p>
    <w:p>
      <w:pPr>
        <w:pStyle w:val="56"/>
        <w:ind w:firstLine="420"/>
      </w:pPr>
      <w:r>
        <w:rPr>
          <w:rFonts w:hint="eastAsia"/>
        </w:rPr>
        <w:t>——DB14/T 1286  设施蔬菜固碳生产技术规程 日光温室茄子</w:t>
      </w:r>
    </w:p>
    <w:p>
      <w:pPr>
        <w:pStyle w:val="56"/>
        <w:ind w:firstLine="420"/>
      </w:pPr>
      <w:r>
        <w:rPr>
          <w:rFonts w:hint="eastAsia"/>
        </w:rPr>
        <w:t>——DB14/T 1289  设施蔬菜固碳生产技术规程 塑料大棚番茄</w:t>
      </w:r>
    </w:p>
    <w:p>
      <w:pPr>
        <w:pStyle w:val="56"/>
        <w:ind w:firstLine="420"/>
      </w:pPr>
      <w:r>
        <w:rPr>
          <w:rFonts w:hint="eastAsia"/>
        </w:rPr>
        <w:t>——DB14/T 1555  设施蔬菜固碳生产技术规程 日光温室西芹</w:t>
      </w:r>
    </w:p>
    <w:p>
      <w:pPr>
        <w:pStyle w:val="56"/>
        <w:ind w:firstLine="420"/>
      </w:pPr>
      <w:r>
        <w:rPr>
          <w:rFonts w:hint="eastAsia"/>
        </w:rPr>
        <w:t>——DB14/T 1562  设施蔬菜固碳生产技术规程 塑料大棚茄子</w:t>
      </w:r>
    </w:p>
    <w:p>
      <w:pPr>
        <w:pStyle w:val="56"/>
        <w:ind w:firstLine="420"/>
      </w:pPr>
      <w:r>
        <w:rPr>
          <w:rFonts w:hint="eastAsia"/>
        </w:rPr>
        <w:t>——DB14/T 1563  设施蔬菜固碳生产技术规程 设施西瓜</w:t>
      </w:r>
    </w:p>
    <w:p>
      <w:pPr>
        <w:pStyle w:val="56"/>
        <w:ind w:firstLine="420"/>
      </w:pPr>
      <w:r>
        <w:rPr>
          <w:rFonts w:hint="eastAsia"/>
        </w:rPr>
        <w:t>——DB14/T 1564  设施蔬菜固碳生产技术规程 塑料大棚西葫芦</w:t>
      </w:r>
    </w:p>
    <w:p>
      <w:pPr>
        <w:pStyle w:val="56"/>
        <w:ind w:firstLine="420"/>
      </w:pPr>
      <w:r>
        <w:rPr>
          <w:rFonts w:hint="eastAsia"/>
        </w:rPr>
        <w:t>——DB14/T 1565  设施蔬菜固碳生产技术规程 塑料大棚黄瓜</w:t>
      </w:r>
    </w:p>
    <w:p>
      <w:pPr>
        <w:pStyle w:val="56"/>
        <w:ind w:firstLine="420"/>
      </w:pPr>
      <w:r>
        <w:rPr>
          <w:rFonts w:hint="eastAsia"/>
        </w:rPr>
        <w:t>——DB14/T 1568  设施蔬菜固碳生产技术规程 日光温室生菜</w:t>
      </w:r>
    </w:p>
    <w:p>
      <w:pPr>
        <w:pStyle w:val="56"/>
        <w:ind w:firstLine="420"/>
      </w:pPr>
      <w:r>
        <w:rPr>
          <w:rFonts w:hint="eastAsia"/>
        </w:rPr>
        <w:t>——DB14/T 1569  设施蔬菜固碳生产技术规程 日光温室西葫芦</w:t>
      </w:r>
    </w:p>
    <w:p>
      <w:pPr>
        <w:pStyle w:val="56"/>
        <w:ind w:firstLine="420"/>
      </w:pPr>
      <w:r>
        <w:rPr>
          <w:rFonts w:hint="eastAsia"/>
        </w:rPr>
        <w:t>本文件代替DB14/T 1289—2016《塑料大棚番茄高效固碳栽培技术规程》，与DB14/T 1289—2016相比，除结构调整和编辑性改动外，主要技术变化如下:</w:t>
      </w:r>
    </w:p>
    <w:p>
      <w:pPr>
        <w:pStyle w:val="56"/>
        <w:ind w:firstLine="420"/>
      </w:pPr>
      <w:r>
        <w:rPr>
          <w:rFonts w:hint="eastAsia"/>
        </w:rPr>
        <w:t>——更改了“范围”的部分内容（见1，2016版1）；</w:t>
      </w:r>
    </w:p>
    <w:p>
      <w:pPr>
        <w:pStyle w:val="56"/>
        <w:ind w:firstLine="420"/>
      </w:pPr>
      <w:r>
        <w:rPr>
          <w:rFonts w:hint="eastAsia"/>
        </w:rPr>
        <w:t>——更改了规范性引用文件（见2，2016版2）；</w:t>
      </w:r>
    </w:p>
    <w:p>
      <w:pPr>
        <w:pStyle w:val="56"/>
        <w:ind w:firstLine="420"/>
      </w:pPr>
      <w:r>
        <w:rPr>
          <w:rFonts w:hint="eastAsia"/>
        </w:rPr>
        <w:t>——增加了“塑料大棚结构与性能”部分（见4）；</w:t>
      </w:r>
    </w:p>
    <w:p>
      <w:pPr>
        <w:pStyle w:val="56"/>
        <w:ind w:firstLine="420"/>
      </w:pPr>
      <w:r>
        <w:rPr>
          <w:rFonts w:hint="eastAsia"/>
        </w:rPr>
        <w:t>——更改了“种苗”的部分内容（见6，2016版5）；</w:t>
      </w:r>
    </w:p>
    <w:p>
      <w:pPr>
        <w:pStyle w:val="56"/>
        <w:ind w:firstLine="420"/>
      </w:pPr>
      <w:r>
        <w:rPr>
          <w:rFonts w:hint="eastAsia"/>
        </w:rPr>
        <w:t>——更改了“整地施肥”的部分内容（见7，2016版6）；</w:t>
      </w:r>
    </w:p>
    <w:p>
      <w:pPr>
        <w:pStyle w:val="56"/>
        <w:ind w:firstLine="420"/>
      </w:pPr>
      <w:r>
        <w:rPr>
          <w:rFonts w:hint="eastAsia"/>
        </w:rPr>
        <w:t>——更改了“田间管理”内容（见9，2016版8）；</w:t>
      </w:r>
    </w:p>
    <w:p>
      <w:pPr>
        <w:pStyle w:val="56"/>
        <w:ind w:firstLine="420"/>
      </w:pPr>
      <w:r>
        <w:rPr>
          <w:rFonts w:hint="eastAsia"/>
        </w:rPr>
        <w:t>——更改了“二氧化碳施肥”部分内容（见10，2016版8.4）；</w:t>
      </w:r>
    </w:p>
    <w:p>
      <w:pPr>
        <w:pStyle w:val="56"/>
        <w:ind w:firstLine="420"/>
      </w:pPr>
      <w:r>
        <w:rPr>
          <w:rFonts w:hint="eastAsia"/>
        </w:rPr>
        <w:t>——增加了“病虫害防治”部分（见11）；</w:t>
      </w:r>
    </w:p>
    <w:p>
      <w:pPr>
        <w:pStyle w:val="56"/>
        <w:ind w:firstLine="420"/>
      </w:pPr>
      <w:r>
        <w:rPr>
          <w:rFonts w:hint="eastAsia"/>
        </w:rPr>
        <w:t>——增加了生产档案附录（见附录A）。</w:t>
      </w:r>
    </w:p>
    <w:p>
      <w:pPr>
        <w:pStyle w:val="56"/>
        <w:ind w:firstLine="420"/>
      </w:pPr>
      <w:r>
        <w:rPr>
          <w:rFonts w:hint="eastAsia"/>
        </w:rPr>
        <w:t>本文件由山西省农业农村厅提出、组织实施和监督检查。</w:t>
      </w:r>
    </w:p>
    <w:p>
      <w:pPr>
        <w:pStyle w:val="56"/>
        <w:ind w:firstLine="420"/>
      </w:pPr>
      <w:r>
        <w:rPr>
          <w:rFonts w:hint="eastAsia"/>
        </w:rPr>
        <w:t>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本文件起草单位：山西农业大学、山西省左云县鹊儿山镇便民服务中心。</w:t>
      </w:r>
    </w:p>
    <w:p>
      <w:pPr>
        <w:pStyle w:val="56"/>
        <w:ind w:firstLine="420"/>
      </w:pPr>
      <w:r>
        <w:rPr>
          <w:rFonts w:hint="eastAsia"/>
        </w:rPr>
        <w:t>本文件主要起草人：郑少文、李云霞、武屹栋、宋红霞、聂红玫、侯雷平、邢国明。</w:t>
      </w:r>
    </w:p>
    <w:p>
      <w:pPr>
        <w:pStyle w:val="56"/>
        <w:ind w:firstLine="420"/>
      </w:pPr>
      <w:r>
        <w:rPr>
          <w:rFonts w:hint="eastAsia"/>
        </w:rPr>
        <w:t>本文件及其所代替文件的历次版本发布情况为：</w:t>
      </w:r>
    </w:p>
    <w:p>
      <w:pPr>
        <w:pStyle w:val="56"/>
        <w:ind w:firstLine="420"/>
      </w:pPr>
      <w:r>
        <w:rPr>
          <w:rFonts w:hint="eastAsia"/>
        </w:rPr>
        <w:t>——2016年首次发布为DB14/T 1289—2016；</w:t>
      </w:r>
    </w:p>
    <w:p>
      <w:pPr>
        <w:pStyle w:val="56"/>
        <w:ind w:firstLine="420"/>
      </w:pPr>
      <w:r>
        <w:rPr>
          <w:rFonts w:hint="eastAsia"/>
        </w:rPr>
        <w:t>——本次为第一次修订。</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57AC1FEFCA3F41048562017432B39F2D"/>
        </w:placeholder>
      </w:sdtPr>
      <w:sdtContent>
        <w:p>
          <w:pPr>
            <w:pStyle w:val="177"/>
            <w:spacing w:before="3" w:beforeLines="1" w:after="3" w:afterLines="1"/>
          </w:pPr>
          <w:bookmarkStart w:id="24" w:name="NEW_STAND_NAME"/>
          <w:r>
            <w:rPr>
              <w:rFonts w:hint="eastAsia"/>
            </w:rPr>
            <w:t>设施蔬菜固碳生产技术规程</w:t>
          </w:r>
        </w:p>
        <w:p>
          <w:pPr>
            <w:pStyle w:val="177"/>
            <w:spacing w:before="3" w:beforeLines="1" w:after="680"/>
          </w:pPr>
          <w:r>
            <w:rPr>
              <w:rFonts w:hint="eastAsia"/>
            </w:rPr>
            <w:t>塑料大棚番茄</w:t>
          </w:r>
        </w:p>
      </w:sdtContent>
    </w:sdt>
    <w:bookmarkEnd w:id="24"/>
    <w:p>
      <w:pPr>
        <w:pStyle w:val="104"/>
        <w:spacing w:before="312" w:after="312"/>
      </w:pPr>
      <w:bookmarkStart w:id="25" w:name="_Toc164872868"/>
      <w:bookmarkStart w:id="26" w:name="_Toc17233334"/>
      <w:bookmarkStart w:id="27" w:name="_Toc24884219"/>
      <w:bookmarkStart w:id="28" w:name="_Toc26648466"/>
      <w:bookmarkStart w:id="29" w:name="_Toc24884212"/>
      <w:bookmarkStart w:id="30" w:name="_Toc17233326"/>
      <w:r>
        <w:rPr>
          <w:rFonts w:hint="eastAsia"/>
        </w:rPr>
        <w:t>范围</w:t>
      </w:r>
      <w:bookmarkEnd w:id="25"/>
    </w:p>
    <w:p>
      <w:pPr>
        <w:widowControl/>
        <w:spacing w:line="360" w:lineRule="auto"/>
        <w:ind w:firstLine="420" w:firstLineChars="200"/>
        <w:jc w:val="left"/>
        <w:rPr>
          <w:kern w:val="0"/>
        </w:rPr>
      </w:pPr>
      <w:r>
        <w:rPr>
          <w:rFonts w:hint="eastAsia"/>
          <w:kern w:val="0"/>
        </w:rPr>
        <w:t>本文件规定了塑料大棚番茄固碳生产的术语和定义、温室结构与性能、茬口安排、种苗、整地施肥、定植、田间管理、二氧化碳施肥、病虫害防治、采收和生产档案的内容。</w:t>
      </w:r>
    </w:p>
    <w:p>
      <w:pPr>
        <w:widowControl/>
        <w:spacing w:line="360" w:lineRule="auto"/>
        <w:ind w:firstLine="420" w:firstLineChars="200"/>
        <w:jc w:val="left"/>
        <w:rPr>
          <w:kern w:val="0"/>
        </w:rPr>
      </w:pPr>
      <w:r>
        <w:rPr>
          <w:rFonts w:hint="eastAsia"/>
          <w:kern w:val="0"/>
        </w:rPr>
        <w:t>本文件适用于塑料大棚番茄固碳生产。</w:t>
      </w:r>
    </w:p>
    <w:p>
      <w:pPr>
        <w:pStyle w:val="104"/>
        <w:spacing w:before="312" w:after="312"/>
      </w:pPr>
      <w:bookmarkStart w:id="31" w:name="_Toc164872869"/>
      <w:r>
        <w:rPr>
          <w:rFonts w:hint="eastAsia"/>
        </w:rPr>
        <w:t>规范性引用文件</w:t>
      </w:r>
      <w:bookmarkEnd w:id="31"/>
    </w:p>
    <w:p>
      <w:pPr>
        <w:widowControl/>
        <w:spacing w:line="360" w:lineRule="auto"/>
        <w:ind w:firstLine="420" w:firstLineChars="200"/>
        <w:jc w:val="left"/>
        <w:rPr>
          <w:kern w:val="0"/>
        </w:rPr>
      </w:pPr>
      <w:r>
        <w:rPr>
          <w:rFonts w:hint="eastAsia"/>
          <w:kern w:val="0"/>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spacing w:line="360" w:lineRule="auto"/>
        <w:ind w:firstLine="420" w:firstLineChars="200"/>
        <w:jc w:val="left"/>
        <w:rPr>
          <w:kern w:val="0"/>
        </w:rPr>
      </w:pPr>
      <w:r>
        <w:rPr>
          <w:rFonts w:hint="eastAsia" w:ascii="宋体" w:hAnsi="宋体" w:eastAsia="宋体" w:cs="宋体"/>
          <w:kern w:val="0"/>
        </w:rPr>
        <w:t>GB</w:t>
      </w:r>
      <w:r>
        <w:rPr>
          <w:rFonts w:ascii="Times New Roman"/>
        </w:rPr>
        <w:t xml:space="preserve"> </w:t>
      </w:r>
      <w:r>
        <w:rPr>
          <w:rFonts w:hint="eastAsia" w:ascii="宋体" w:hAnsi="宋体" w:eastAsia="宋体" w:cs="宋体"/>
          <w:kern w:val="0"/>
        </w:rPr>
        <w:t>16715.3</w:t>
      </w:r>
      <w:r>
        <w:rPr>
          <w:rFonts w:hint="eastAsia" w:ascii="宋体" w:hAnsi="宋体" w:cs="宋体"/>
          <w:kern w:val="0"/>
          <w:lang w:val="en-US" w:eastAsia="zh-CN"/>
        </w:rPr>
        <w:t xml:space="preserve">  </w:t>
      </w:r>
      <w:r>
        <w:rPr>
          <w:rFonts w:hint="eastAsia"/>
          <w:kern w:val="0"/>
        </w:rPr>
        <w:t>瓜菜作物种子 第</w:t>
      </w:r>
      <w:r>
        <w:rPr>
          <w:rFonts w:hint="eastAsia" w:ascii="宋体" w:hAnsi="宋体" w:eastAsia="宋体" w:cs="宋体"/>
          <w:kern w:val="0"/>
        </w:rPr>
        <w:t>3</w:t>
      </w:r>
      <w:r>
        <w:rPr>
          <w:rFonts w:hint="eastAsia"/>
          <w:kern w:val="0"/>
        </w:rPr>
        <w:t>部分：茄果类</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GB/T</w:t>
      </w:r>
      <w:r>
        <w:rPr>
          <w:rFonts w:ascii="Times New Roman"/>
        </w:rPr>
        <w:t xml:space="preserve"> </w:t>
      </w:r>
      <w:r>
        <w:rPr>
          <w:rFonts w:hint="eastAsia" w:ascii="宋体" w:hAnsi="宋体" w:eastAsia="宋体" w:cs="宋体"/>
          <w:kern w:val="0"/>
        </w:rPr>
        <w:t>17187</w:t>
      </w:r>
      <w:r>
        <w:rPr>
          <w:rFonts w:hint="eastAsia" w:ascii="宋体" w:hAnsi="宋体" w:cs="宋体"/>
          <w:kern w:val="0"/>
          <w:lang w:val="en-US" w:eastAsia="zh-CN"/>
        </w:rPr>
        <w:t xml:space="preserve">  </w:t>
      </w:r>
      <w:r>
        <w:rPr>
          <w:rFonts w:hint="eastAsia" w:ascii="宋体" w:hAnsi="宋体" w:eastAsia="宋体" w:cs="宋体"/>
          <w:kern w:val="0"/>
        </w:rPr>
        <w:t>农业灌溉设备 滴头和滴灌管 技术规范和试验方法</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GB/T</w:t>
      </w:r>
      <w:r>
        <w:rPr>
          <w:rFonts w:ascii="Times New Roman"/>
        </w:rPr>
        <w:t xml:space="preserve"> </w:t>
      </w:r>
      <w:r>
        <w:rPr>
          <w:rFonts w:hint="eastAsia" w:ascii="宋体" w:hAnsi="宋体" w:eastAsia="宋体" w:cs="宋体"/>
          <w:kern w:val="0"/>
        </w:rPr>
        <w:t>23416.2</w:t>
      </w:r>
      <w:r>
        <w:rPr>
          <w:rFonts w:hint="eastAsia" w:ascii="宋体" w:hAnsi="宋体" w:cs="宋体"/>
          <w:kern w:val="0"/>
          <w:lang w:val="en-US" w:eastAsia="zh-CN"/>
        </w:rPr>
        <w:t xml:space="preserve">  </w:t>
      </w:r>
      <w:r>
        <w:rPr>
          <w:rFonts w:hint="eastAsia" w:ascii="宋体" w:hAnsi="宋体" w:eastAsia="宋体" w:cs="宋体"/>
          <w:kern w:val="0"/>
        </w:rPr>
        <w:t xml:space="preserve">蔬菜病虫害安全防治技术规范 第2部分：茄果类  </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JB/T</w:t>
      </w:r>
      <w:r>
        <w:rPr>
          <w:rFonts w:ascii="Times New Roman"/>
        </w:rPr>
        <w:t xml:space="preserve"> </w:t>
      </w:r>
      <w:r>
        <w:rPr>
          <w:rFonts w:hint="eastAsia" w:ascii="宋体" w:hAnsi="宋体" w:eastAsia="宋体" w:cs="宋体"/>
          <w:kern w:val="0"/>
        </w:rPr>
        <w:t>10594</w:t>
      </w:r>
      <w:r>
        <w:rPr>
          <w:rFonts w:hint="eastAsia" w:ascii="宋体" w:hAnsi="宋体" w:cs="宋体"/>
          <w:kern w:val="0"/>
          <w:lang w:val="en-US" w:eastAsia="zh-CN"/>
        </w:rPr>
        <w:t xml:space="preserve">  </w:t>
      </w:r>
      <w:r>
        <w:rPr>
          <w:rFonts w:hint="eastAsia" w:ascii="宋体" w:hAnsi="宋体" w:eastAsia="宋体" w:cs="宋体"/>
          <w:kern w:val="0"/>
        </w:rPr>
        <w:t>日光温室和塑料大棚结构与性能</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NY/T</w:t>
      </w:r>
      <w:r>
        <w:rPr>
          <w:rFonts w:ascii="Times New Roman"/>
        </w:rPr>
        <w:t xml:space="preserve"> </w:t>
      </w:r>
      <w:r>
        <w:rPr>
          <w:rFonts w:hint="eastAsia" w:ascii="宋体" w:hAnsi="宋体" w:eastAsia="宋体" w:cs="宋体"/>
          <w:kern w:val="0"/>
        </w:rPr>
        <w:t>496</w:t>
      </w:r>
      <w:r>
        <w:rPr>
          <w:rFonts w:hint="eastAsia" w:ascii="宋体" w:hAnsi="宋体" w:cs="宋体"/>
          <w:kern w:val="0"/>
          <w:lang w:val="en-US" w:eastAsia="zh-CN"/>
        </w:rPr>
        <w:t xml:space="preserve">  </w:t>
      </w:r>
      <w:r>
        <w:rPr>
          <w:rFonts w:hint="eastAsia" w:ascii="宋体" w:hAnsi="宋体" w:eastAsia="宋体" w:cs="宋体"/>
          <w:kern w:val="0"/>
        </w:rPr>
        <w:t>肥料合理使用准则 通则</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NY/T</w:t>
      </w:r>
      <w:r>
        <w:rPr>
          <w:rFonts w:ascii="Times New Roman"/>
        </w:rPr>
        <w:t xml:space="preserve"> </w:t>
      </w:r>
      <w:r>
        <w:rPr>
          <w:rFonts w:hint="eastAsia" w:ascii="宋体" w:hAnsi="宋体" w:eastAsia="宋体" w:cs="宋体"/>
          <w:kern w:val="0"/>
        </w:rPr>
        <w:t>2312</w:t>
      </w:r>
      <w:r>
        <w:rPr>
          <w:rFonts w:hint="eastAsia" w:ascii="宋体" w:hAnsi="宋体" w:cs="宋体"/>
          <w:kern w:val="0"/>
          <w:lang w:val="en-US" w:eastAsia="zh-CN"/>
        </w:rPr>
        <w:t xml:space="preserve">  </w:t>
      </w:r>
      <w:r>
        <w:rPr>
          <w:rFonts w:hint="eastAsia" w:ascii="宋体" w:hAnsi="宋体" w:eastAsia="宋体" w:cs="宋体"/>
          <w:kern w:val="0"/>
        </w:rPr>
        <w:t>茄果类蔬菜穴盘育苗技术规程</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NY/T</w:t>
      </w:r>
      <w:r>
        <w:rPr>
          <w:rFonts w:ascii="Times New Roman"/>
        </w:rPr>
        <w:t xml:space="preserve"> </w:t>
      </w:r>
      <w:r>
        <w:rPr>
          <w:rFonts w:hint="eastAsia" w:ascii="宋体" w:hAnsi="宋体" w:eastAsia="宋体" w:cs="宋体"/>
          <w:kern w:val="0"/>
        </w:rPr>
        <w:t>3045</w:t>
      </w:r>
      <w:r>
        <w:rPr>
          <w:rFonts w:hint="eastAsia" w:ascii="宋体" w:hAnsi="宋体" w:cs="宋体"/>
          <w:kern w:val="0"/>
          <w:lang w:val="en-US" w:eastAsia="zh-CN"/>
        </w:rPr>
        <w:t xml:space="preserve">  </w:t>
      </w:r>
      <w:r>
        <w:rPr>
          <w:rFonts w:hint="eastAsia" w:ascii="宋体" w:hAnsi="宋体" w:eastAsia="宋体" w:cs="宋体"/>
          <w:kern w:val="0"/>
        </w:rPr>
        <w:t>设施番茄熊蜂授粉技术规程</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DB14/T</w:t>
      </w:r>
      <w:r>
        <w:rPr>
          <w:rFonts w:ascii="Times New Roman"/>
        </w:rPr>
        <w:t xml:space="preserve"> </w:t>
      </w:r>
      <w:r>
        <w:rPr>
          <w:rFonts w:hint="eastAsia" w:ascii="宋体" w:hAnsi="宋体" w:eastAsia="宋体" w:cs="宋体"/>
          <w:kern w:val="0"/>
        </w:rPr>
        <w:t>1281</w:t>
      </w:r>
      <w:r>
        <w:rPr>
          <w:rFonts w:hint="eastAsia" w:ascii="宋体" w:hAnsi="宋体" w:cs="宋体"/>
          <w:kern w:val="0"/>
          <w:lang w:val="en-US" w:eastAsia="zh-CN"/>
        </w:rPr>
        <w:t xml:space="preserve">  </w:t>
      </w:r>
      <w:r>
        <w:rPr>
          <w:rFonts w:hint="eastAsia" w:ascii="宋体" w:hAnsi="宋体" w:eastAsia="宋体" w:cs="宋体"/>
          <w:kern w:val="0"/>
        </w:rPr>
        <w:t>设施蔬菜固碳生产技术规程 果菜类育苗</w:t>
      </w:r>
    </w:p>
    <w:p>
      <w:pPr>
        <w:widowControl/>
        <w:spacing w:line="360" w:lineRule="auto"/>
        <w:ind w:firstLine="420" w:firstLineChars="200"/>
        <w:jc w:val="left"/>
        <w:rPr>
          <w:kern w:val="0"/>
        </w:rPr>
      </w:pPr>
      <w:r>
        <w:rPr>
          <w:rFonts w:hint="eastAsia" w:ascii="宋体" w:hAnsi="宋体" w:eastAsia="宋体" w:cs="宋体"/>
          <w:kern w:val="0"/>
        </w:rPr>
        <w:t>DB14/T</w:t>
      </w:r>
      <w:r>
        <w:rPr>
          <w:rFonts w:ascii="Times New Roman"/>
        </w:rPr>
        <w:t xml:space="preserve"> </w:t>
      </w:r>
      <w:r>
        <w:rPr>
          <w:rFonts w:hint="eastAsia" w:ascii="宋体" w:hAnsi="宋体" w:eastAsia="宋体" w:cs="宋体"/>
          <w:kern w:val="0"/>
        </w:rPr>
        <w:t>1288</w:t>
      </w:r>
      <w:r>
        <w:rPr>
          <w:rFonts w:hint="eastAsia" w:ascii="宋体" w:hAnsi="宋体" w:cs="宋体"/>
          <w:kern w:val="0"/>
          <w:lang w:val="en-US" w:eastAsia="zh-CN"/>
        </w:rPr>
        <w:t xml:space="preserve">  </w:t>
      </w:r>
      <w:r>
        <w:rPr>
          <w:rFonts w:hint="eastAsia" w:ascii="宋体" w:hAnsi="宋体" w:eastAsia="宋体" w:cs="宋体"/>
          <w:kern w:val="0"/>
        </w:rPr>
        <w:t>设施蔬</w:t>
      </w:r>
      <w:r>
        <w:rPr>
          <w:rFonts w:hint="eastAsia"/>
          <w:kern w:val="0"/>
        </w:rPr>
        <w:t>菜固碳生产技术规程 二氧化碳施肥</w:t>
      </w:r>
    </w:p>
    <w:p>
      <w:pPr>
        <w:pStyle w:val="104"/>
        <w:spacing w:before="312" w:after="312"/>
      </w:pPr>
      <w:bookmarkStart w:id="32" w:name="_Toc164872870"/>
      <w:r>
        <w:rPr>
          <w:rFonts w:hint="eastAsia"/>
        </w:rPr>
        <w:t>术语和定义</w:t>
      </w:r>
      <w:bookmarkEnd w:id="32"/>
    </w:p>
    <w:p>
      <w:pPr>
        <w:widowControl/>
        <w:spacing w:line="360" w:lineRule="auto"/>
        <w:ind w:firstLine="420" w:firstLineChars="200"/>
        <w:jc w:val="left"/>
        <w:rPr>
          <w:kern w:val="0"/>
        </w:rPr>
      </w:pPr>
      <w:r>
        <w:rPr>
          <w:rFonts w:hint="eastAsia"/>
          <w:kern w:val="0"/>
        </w:rPr>
        <w:t>下列术语和定义适用于本文件。</w:t>
      </w:r>
    </w:p>
    <w:p>
      <w:pPr>
        <w:pStyle w:val="105"/>
        <w:spacing w:before="156" w:after="156"/>
      </w:pPr>
      <w:r>
        <w:rPr>
          <w:rFonts w:hint="eastAsia"/>
        </w:rPr>
        <w:t>固碳生产</w:t>
      </w:r>
    </w:p>
    <w:p>
      <w:pPr>
        <w:widowControl/>
        <w:spacing w:line="360" w:lineRule="auto"/>
        <w:ind w:firstLine="420" w:firstLineChars="200"/>
        <w:jc w:val="left"/>
        <w:rPr>
          <w:kern w:val="0"/>
        </w:rPr>
      </w:pPr>
      <w:r>
        <w:rPr>
          <w:rFonts w:hint="eastAsia"/>
          <w:kern w:val="0"/>
        </w:rPr>
        <w:t>在设施蔬菜生产中，通过优化设施环境，收集工业废气中的</w:t>
      </w:r>
      <w:r>
        <w:rPr>
          <w:rFonts w:hint="eastAsia" w:ascii="宋体" w:hAnsi="宋体" w:eastAsia="宋体" w:cs="宋体"/>
          <w:kern w:val="0"/>
        </w:rPr>
        <w:t>CO</w:t>
      </w:r>
      <w:r>
        <w:rPr>
          <w:rFonts w:hint="eastAsia" w:ascii="宋体" w:hAnsi="宋体" w:eastAsia="宋体" w:cs="宋体"/>
          <w:kern w:val="0"/>
          <w:vertAlign w:val="subscript"/>
        </w:rPr>
        <w:t>2</w:t>
      </w:r>
      <w:r>
        <w:rPr>
          <w:rFonts w:hint="eastAsia"/>
          <w:kern w:val="0"/>
        </w:rPr>
        <w:t>并进行贮存，控制</w:t>
      </w:r>
      <w:r>
        <w:rPr>
          <w:rFonts w:hint="eastAsia" w:ascii="宋体" w:hAnsi="宋体" w:eastAsia="宋体" w:cs="宋体"/>
          <w:kern w:val="0"/>
        </w:rPr>
        <w:t>CO</w:t>
      </w:r>
      <w:r>
        <w:rPr>
          <w:rFonts w:hint="eastAsia" w:ascii="宋体" w:hAnsi="宋体" w:eastAsia="宋体" w:cs="宋体"/>
          <w:kern w:val="0"/>
          <w:vertAlign w:val="subscript"/>
        </w:rPr>
        <w:t>2</w:t>
      </w:r>
      <w:r>
        <w:rPr>
          <w:rFonts w:hint="eastAsia"/>
          <w:kern w:val="0"/>
        </w:rPr>
        <w:t>施用浓度，调节</w:t>
      </w:r>
      <w:r>
        <w:rPr>
          <w:rFonts w:hint="eastAsia" w:ascii="宋体" w:hAnsi="宋体" w:eastAsia="宋体" w:cs="宋体"/>
          <w:kern w:val="0"/>
        </w:rPr>
        <w:t>CO</w:t>
      </w:r>
      <w:r>
        <w:rPr>
          <w:rFonts w:hint="eastAsia" w:ascii="宋体" w:hAnsi="宋体" w:eastAsia="宋体" w:cs="宋体"/>
          <w:kern w:val="0"/>
          <w:vertAlign w:val="subscript"/>
        </w:rPr>
        <w:t>2</w:t>
      </w:r>
      <w:r>
        <w:rPr>
          <w:rFonts w:hint="eastAsia"/>
          <w:kern w:val="0"/>
        </w:rPr>
        <w:t>释放时间，配套相应的栽培管理措施，充分挖掘设施蔬菜固碳效率和增产潜力，从而达到设施蔬菜优质高产高效益的一种生产模式。</w:t>
      </w:r>
    </w:p>
    <w:p>
      <w:pPr>
        <w:pStyle w:val="104"/>
        <w:spacing w:before="312" w:after="312"/>
      </w:pPr>
      <w:bookmarkStart w:id="33" w:name="_Toc164872871"/>
      <w:r>
        <w:rPr>
          <w:rFonts w:hint="eastAsia"/>
        </w:rPr>
        <w:t>塑料大棚结构与性能</w:t>
      </w:r>
      <w:bookmarkEnd w:id="33"/>
    </w:p>
    <w:p>
      <w:pPr>
        <w:widowControl/>
        <w:spacing w:line="360" w:lineRule="auto"/>
        <w:ind w:firstLine="420" w:firstLineChars="200"/>
        <w:jc w:val="left"/>
        <w:rPr>
          <w:kern w:val="0"/>
        </w:rPr>
      </w:pPr>
      <w:r>
        <w:rPr>
          <w:rFonts w:hint="eastAsia"/>
          <w:kern w:val="0"/>
        </w:rPr>
        <w:t>塑料大棚结构与性能应符</w:t>
      </w:r>
      <w:r>
        <w:rPr>
          <w:rFonts w:hint="eastAsia" w:ascii="宋体" w:hAnsi="宋体" w:eastAsia="宋体" w:cs="宋体"/>
          <w:kern w:val="0"/>
        </w:rPr>
        <w:t>合</w:t>
      </w:r>
      <w:r>
        <w:rPr>
          <w:rFonts w:hint="eastAsia" w:ascii="宋体" w:hAnsi="宋体" w:eastAsia="宋体" w:cs="宋体"/>
          <w:kern w:val="0"/>
        </w:rPr>
        <w:t>JB/T</w:t>
      </w:r>
      <w:r>
        <w:rPr>
          <w:rFonts w:ascii="Times New Roman"/>
        </w:rPr>
        <w:t xml:space="preserve"> </w:t>
      </w:r>
      <w:r>
        <w:rPr>
          <w:rFonts w:hint="eastAsia" w:ascii="宋体" w:hAnsi="宋体" w:eastAsia="宋体" w:cs="宋体"/>
          <w:kern w:val="0"/>
        </w:rPr>
        <w:t>10594的要求。白天最高气温不高于</w:t>
      </w:r>
      <w:r>
        <w:rPr>
          <w:rFonts w:hint="eastAsia" w:ascii="宋体" w:hAnsi="宋体" w:eastAsia="宋体" w:cs="宋体"/>
          <w:kern w:val="0"/>
        </w:rPr>
        <w:t>35 ℃，夜间最低气温不低于</w:t>
      </w:r>
      <w:r>
        <w:rPr>
          <w:rFonts w:hint="eastAsia" w:ascii="宋体" w:hAnsi="宋体" w:eastAsia="宋体" w:cs="宋体"/>
          <w:kern w:val="0"/>
        </w:rPr>
        <w:t>10 ℃，室内</w:t>
      </w:r>
      <w:r>
        <w:rPr>
          <w:rFonts w:hint="eastAsia" w:ascii="宋体" w:hAnsi="宋体" w:eastAsia="宋体" w:cs="宋体"/>
          <w:kern w:val="0"/>
        </w:rPr>
        <w:t>10 cm土层的日最低温度不低于</w:t>
      </w:r>
      <w:r>
        <w:rPr>
          <w:rFonts w:hint="eastAsia" w:ascii="宋体" w:hAnsi="宋体" w:eastAsia="宋体" w:cs="宋体"/>
          <w:kern w:val="0"/>
        </w:rPr>
        <w:t>12</w:t>
      </w:r>
      <w:r>
        <w:rPr>
          <w:rFonts w:ascii="Times New Roman"/>
        </w:rPr>
        <w:t xml:space="preserve"> </w:t>
      </w:r>
      <w:r>
        <w:rPr>
          <w:rFonts w:hint="eastAsia" w:ascii="宋体" w:hAnsi="宋体" w:eastAsia="宋体" w:cs="宋体"/>
          <w:kern w:val="0"/>
        </w:rPr>
        <w:t>℃；光照时数不少于</w:t>
      </w:r>
      <w:r>
        <w:rPr>
          <w:rFonts w:hint="eastAsia" w:ascii="宋体" w:hAnsi="宋体" w:eastAsia="宋体" w:cs="宋体"/>
          <w:kern w:val="0"/>
        </w:rPr>
        <w:t>6</w:t>
      </w:r>
      <w:r>
        <w:rPr>
          <w:rFonts w:ascii="Times New Roman"/>
        </w:rPr>
        <w:t xml:space="preserve"> </w:t>
      </w:r>
      <w:r>
        <w:rPr>
          <w:rFonts w:hint="eastAsia" w:ascii="宋体" w:hAnsi="宋体" w:eastAsia="宋体" w:cs="宋体"/>
          <w:kern w:val="0"/>
        </w:rPr>
        <w:t>h，植株顶部水平光照强度不低于</w:t>
      </w:r>
      <w:r>
        <w:rPr>
          <w:rFonts w:hint="eastAsia" w:ascii="宋体" w:hAnsi="宋体" w:eastAsia="宋体" w:cs="宋体"/>
          <w:kern w:val="0"/>
        </w:rPr>
        <w:t>6</w:t>
      </w:r>
      <w:r>
        <w:rPr>
          <w:rFonts w:ascii="Times New Roman"/>
        </w:rPr>
        <w:t xml:space="preserve"> </w:t>
      </w:r>
      <w:r>
        <w:rPr>
          <w:rFonts w:hint="eastAsia" w:ascii="宋体" w:hAnsi="宋体" w:eastAsia="宋体" w:cs="宋体"/>
          <w:kern w:val="0"/>
        </w:rPr>
        <w:t>000</w:t>
      </w:r>
      <w:r>
        <w:rPr>
          <w:rFonts w:ascii="Times New Roman"/>
        </w:rPr>
        <w:t xml:space="preserve"> </w:t>
      </w:r>
      <w:r>
        <w:rPr>
          <w:rFonts w:hint="eastAsia" w:ascii="宋体" w:hAnsi="宋体" w:eastAsia="宋体" w:cs="宋体"/>
          <w:kern w:val="0"/>
        </w:rPr>
        <w:t>lx，室内光照分布均匀；室内空气相对湿度</w:t>
      </w:r>
      <w:r>
        <w:rPr>
          <w:rFonts w:hint="eastAsia" w:ascii="宋体" w:hAnsi="宋体" w:eastAsia="宋体" w:cs="宋体"/>
          <w:kern w:val="0"/>
        </w:rPr>
        <w:t>50%～85%</w:t>
      </w:r>
      <w:r>
        <w:rPr>
          <w:rFonts w:hint="eastAsia"/>
          <w:kern w:val="0"/>
        </w:rPr>
        <w:t>，土壤相对湿度</w:t>
      </w:r>
      <w:r>
        <w:rPr>
          <w:rFonts w:hint="eastAsia" w:ascii="宋体" w:hAnsi="宋体" w:eastAsia="宋体" w:cs="宋体"/>
          <w:kern w:val="0"/>
        </w:rPr>
        <w:t>60%～70%</w:t>
      </w:r>
      <w:r>
        <w:rPr>
          <w:rFonts w:hint="eastAsia"/>
          <w:kern w:val="0"/>
        </w:rPr>
        <w:t>。</w:t>
      </w:r>
    </w:p>
    <w:p>
      <w:pPr>
        <w:pStyle w:val="104"/>
        <w:spacing w:before="312" w:after="312"/>
      </w:pPr>
      <w:bookmarkStart w:id="34" w:name="_Toc164872872"/>
      <w:r>
        <w:rPr>
          <w:rFonts w:hint="eastAsia"/>
        </w:rPr>
        <w:t>茬口安排</w:t>
      </w:r>
      <w:bookmarkEnd w:id="34"/>
    </w:p>
    <w:p>
      <w:pPr>
        <w:widowControl/>
        <w:spacing w:line="360" w:lineRule="auto"/>
        <w:ind w:firstLine="420" w:firstLineChars="200"/>
        <w:jc w:val="left"/>
        <w:rPr>
          <w:kern w:val="0"/>
        </w:rPr>
      </w:pPr>
      <w:r>
        <w:rPr>
          <w:rFonts w:hint="eastAsia"/>
          <w:kern w:val="0"/>
        </w:rPr>
        <w:t>春提早番茄</w:t>
      </w:r>
      <w:r>
        <w:rPr>
          <w:rFonts w:hint="eastAsia" w:ascii="宋体" w:hAnsi="宋体" w:eastAsia="宋体" w:cs="宋体"/>
          <w:kern w:val="0"/>
        </w:rPr>
        <w:t>1</w:t>
      </w:r>
      <w:r>
        <w:rPr>
          <w:rFonts w:hint="eastAsia"/>
          <w:kern w:val="0"/>
        </w:rPr>
        <w:t>月底至</w:t>
      </w:r>
      <w:r>
        <w:rPr>
          <w:rFonts w:hint="eastAsia" w:ascii="宋体" w:hAnsi="宋体" w:eastAsia="宋体" w:cs="宋体"/>
          <w:kern w:val="0"/>
        </w:rPr>
        <w:t>2</w:t>
      </w:r>
      <w:r>
        <w:rPr>
          <w:rFonts w:hint="eastAsia"/>
          <w:kern w:val="0"/>
        </w:rPr>
        <w:t>月初播种育苗，</w:t>
      </w:r>
      <w:r>
        <w:rPr>
          <w:rFonts w:hint="eastAsia" w:ascii="宋体" w:hAnsi="宋体" w:eastAsia="宋体" w:cs="宋体"/>
          <w:kern w:val="0"/>
        </w:rPr>
        <w:t>3</w:t>
      </w:r>
      <w:r>
        <w:rPr>
          <w:rFonts w:hint="eastAsia"/>
          <w:kern w:val="0"/>
        </w:rPr>
        <w:t>月底至</w:t>
      </w:r>
      <w:r>
        <w:rPr>
          <w:rFonts w:hint="eastAsia" w:ascii="宋体" w:hAnsi="宋体" w:eastAsia="宋体" w:cs="宋体"/>
          <w:kern w:val="0"/>
        </w:rPr>
        <w:t>4</w:t>
      </w:r>
      <w:r>
        <w:rPr>
          <w:rFonts w:hint="eastAsia"/>
          <w:kern w:val="0"/>
        </w:rPr>
        <w:t>月初定植；秋延后番茄</w:t>
      </w:r>
      <w:r>
        <w:rPr>
          <w:rFonts w:hint="eastAsia" w:ascii="宋体" w:hAnsi="宋体" w:eastAsia="宋体" w:cs="宋体"/>
          <w:kern w:val="0"/>
        </w:rPr>
        <w:t>6</w:t>
      </w:r>
      <w:r>
        <w:rPr>
          <w:rFonts w:hint="eastAsia"/>
          <w:kern w:val="0"/>
        </w:rPr>
        <w:t>月中下旬播种育苗</w:t>
      </w:r>
      <w:r>
        <w:rPr>
          <w:rFonts w:hint="eastAsia" w:ascii="宋体" w:hAnsi="宋体" w:eastAsia="宋体" w:cs="宋体"/>
          <w:kern w:val="0"/>
        </w:rPr>
        <w:t>，7</w:t>
      </w:r>
      <w:r>
        <w:rPr>
          <w:rFonts w:hint="eastAsia"/>
          <w:kern w:val="0"/>
        </w:rPr>
        <w:t>月中下旬定植。</w:t>
      </w:r>
    </w:p>
    <w:p>
      <w:pPr>
        <w:pStyle w:val="104"/>
        <w:spacing w:before="312" w:after="312"/>
      </w:pPr>
      <w:bookmarkStart w:id="35" w:name="_Toc164872873"/>
      <w:r>
        <w:rPr>
          <w:rFonts w:hint="eastAsia"/>
        </w:rPr>
        <w:t>种苗</w:t>
      </w:r>
      <w:bookmarkEnd w:id="35"/>
    </w:p>
    <w:p>
      <w:pPr>
        <w:pStyle w:val="105"/>
        <w:spacing w:before="156" w:after="156"/>
      </w:pPr>
      <w:r>
        <w:rPr>
          <w:rFonts w:hint="eastAsia"/>
        </w:rPr>
        <w:t>品种选择</w:t>
      </w:r>
    </w:p>
    <w:p>
      <w:pPr>
        <w:widowControl/>
        <w:spacing w:line="360" w:lineRule="auto"/>
        <w:ind w:firstLine="420" w:firstLineChars="200"/>
        <w:jc w:val="left"/>
        <w:rPr>
          <w:kern w:val="0"/>
        </w:rPr>
      </w:pPr>
      <w:r>
        <w:rPr>
          <w:rFonts w:hint="eastAsia"/>
          <w:kern w:val="0"/>
        </w:rPr>
        <w:t>选用</w:t>
      </w:r>
      <w:r>
        <w:rPr>
          <w:rFonts w:hint="eastAsia" w:ascii="宋体" w:hAnsi="宋体" w:eastAsia="宋体" w:cs="宋体"/>
          <w:kern w:val="0"/>
        </w:rPr>
        <w:t>CO</w:t>
      </w:r>
      <w:r>
        <w:rPr>
          <w:rFonts w:hint="eastAsia" w:ascii="宋体" w:hAnsi="宋体" w:eastAsia="宋体" w:cs="宋体"/>
          <w:kern w:val="0"/>
          <w:vertAlign w:val="subscript"/>
        </w:rPr>
        <w:t>2</w:t>
      </w:r>
      <w:r>
        <w:rPr>
          <w:rFonts w:hint="eastAsia"/>
          <w:kern w:val="0"/>
        </w:rPr>
        <w:t>敏感型高光效品种，春提早番茄生产选用前期耐低温、后期耐热，在低温条件下坐果率高，果实生长发育快，抗病性强，商品性好，丰产耐储运的品种；秋延后番茄生产选用早、中熟，植株长势旺，商品性好，耐高温、干旱，适应性强，抗病性强的品种。种子质量符合</w:t>
      </w:r>
      <w:r>
        <w:rPr>
          <w:rFonts w:hint="eastAsia" w:ascii="宋体" w:hAnsi="宋体" w:eastAsia="宋体" w:cs="宋体"/>
          <w:kern w:val="0"/>
        </w:rPr>
        <w:t>GB</w:t>
      </w:r>
      <w:r>
        <w:rPr>
          <w:rFonts w:ascii="Times New Roman"/>
        </w:rPr>
        <w:t xml:space="preserve"> </w:t>
      </w:r>
      <w:r>
        <w:rPr>
          <w:rFonts w:hint="eastAsia" w:ascii="宋体" w:hAnsi="宋体" w:eastAsia="宋体" w:cs="宋体"/>
          <w:kern w:val="0"/>
        </w:rPr>
        <w:t>16715.3</w:t>
      </w:r>
      <w:r>
        <w:rPr>
          <w:rFonts w:hint="eastAsia"/>
          <w:kern w:val="0"/>
        </w:rPr>
        <w:t>的要求。</w:t>
      </w:r>
    </w:p>
    <w:p>
      <w:pPr>
        <w:pStyle w:val="105"/>
        <w:spacing w:before="156" w:after="156"/>
      </w:pPr>
      <w:r>
        <w:rPr>
          <w:rFonts w:hint="eastAsia"/>
        </w:rPr>
        <w:t>穴盘育苗</w:t>
      </w:r>
    </w:p>
    <w:p>
      <w:pPr>
        <w:widowControl/>
        <w:spacing w:line="360" w:lineRule="auto"/>
        <w:ind w:firstLine="420" w:firstLineChars="200"/>
        <w:jc w:val="left"/>
        <w:rPr>
          <w:kern w:val="0"/>
        </w:rPr>
      </w:pPr>
      <w:r>
        <w:rPr>
          <w:rFonts w:hint="eastAsia"/>
          <w:kern w:val="0"/>
        </w:rPr>
        <w:t>采用穴盘工厂化育苗，具体操作执行</w:t>
      </w:r>
      <w:r>
        <w:rPr>
          <w:rFonts w:hint="eastAsia" w:ascii="宋体" w:hAnsi="宋体" w:eastAsia="宋体" w:cs="宋体"/>
          <w:kern w:val="0"/>
        </w:rPr>
        <w:t>NY/T</w:t>
      </w:r>
      <w:r>
        <w:rPr>
          <w:rFonts w:ascii="Times New Roman"/>
        </w:rPr>
        <w:t xml:space="preserve"> </w:t>
      </w:r>
      <w:r>
        <w:rPr>
          <w:rFonts w:hint="eastAsia" w:ascii="宋体" w:hAnsi="宋体" w:eastAsia="宋体" w:cs="宋体"/>
          <w:kern w:val="0"/>
        </w:rPr>
        <w:t>2312</w:t>
      </w:r>
      <w:r>
        <w:rPr>
          <w:rFonts w:hint="eastAsia"/>
          <w:kern w:val="0"/>
        </w:rPr>
        <w:t>的规定。</w:t>
      </w:r>
    </w:p>
    <w:p>
      <w:pPr>
        <w:pStyle w:val="105"/>
        <w:spacing w:before="156" w:after="156"/>
      </w:pPr>
      <w:r>
        <w:rPr>
          <w:rFonts w:hint="eastAsia"/>
        </w:rPr>
        <w:t>壮苗标准</w:t>
      </w:r>
    </w:p>
    <w:p>
      <w:pPr>
        <w:widowControl/>
        <w:spacing w:line="360" w:lineRule="auto"/>
        <w:ind w:firstLine="420" w:firstLineChars="200"/>
        <w:jc w:val="left"/>
        <w:rPr>
          <w:kern w:val="0"/>
        </w:rPr>
      </w:pPr>
      <w:r>
        <w:rPr>
          <w:rFonts w:hint="eastAsia"/>
          <w:kern w:val="0"/>
        </w:rPr>
        <w:t>苗龄</w:t>
      </w:r>
      <w:r>
        <w:rPr>
          <w:rFonts w:hint="eastAsia" w:ascii="宋体" w:hAnsi="宋体" w:eastAsia="宋体" w:cs="宋体"/>
          <w:kern w:val="0"/>
        </w:rPr>
        <w:t>40</w:t>
      </w:r>
      <w:r>
        <w:rPr>
          <w:rFonts w:ascii="Times New Roman"/>
        </w:rPr>
        <w:t xml:space="preserve"> </w:t>
      </w:r>
      <w:r>
        <w:rPr>
          <w:rFonts w:hint="eastAsia" w:ascii="宋体" w:hAnsi="宋体" w:eastAsia="宋体" w:cs="宋体"/>
          <w:kern w:val="0"/>
        </w:rPr>
        <w:t>d</w:t>
      </w:r>
      <w:r>
        <w:rPr>
          <w:rFonts w:hint="eastAsia"/>
        </w:rPr>
        <w:t>～</w:t>
      </w:r>
      <w:r>
        <w:rPr>
          <w:rFonts w:hint="eastAsia" w:ascii="宋体" w:hAnsi="宋体" w:eastAsia="宋体" w:cs="宋体"/>
          <w:kern w:val="0"/>
        </w:rPr>
        <w:t>50</w:t>
      </w:r>
      <w:r>
        <w:rPr>
          <w:rFonts w:ascii="Times New Roman"/>
        </w:rPr>
        <w:t xml:space="preserve"> </w:t>
      </w:r>
      <w:r>
        <w:rPr>
          <w:rFonts w:hint="eastAsia" w:ascii="宋体" w:hAnsi="宋体" w:eastAsia="宋体" w:cs="宋体"/>
          <w:kern w:val="0"/>
        </w:rPr>
        <w:t>d，4</w:t>
      </w:r>
      <w:r>
        <w:rPr>
          <w:rFonts w:hint="eastAsia"/>
        </w:rPr>
        <w:t>～</w:t>
      </w:r>
      <w:r>
        <w:rPr>
          <w:rFonts w:hint="eastAsia" w:ascii="宋体" w:hAnsi="宋体" w:eastAsia="宋体" w:cs="宋体"/>
          <w:kern w:val="0"/>
        </w:rPr>
        <w:t>5</w:t>
      </w:r>
      <w:r>
        <w:rPr>
          <w:rFonts w:hint="eastAsia"/>
          <w:kern w:val="0"/>
        </w:rPr>
        <w:t>片真叶，株高</w:t>
      </w:r>
      <w:r>
        <w:rPr>
          <w:rFonts w:hint="eastAsia" w:ascii="宋体" w:hAnsi="宋体" w:eastAsia="宋体" w:cs="宋体"/>
          <w:kern w:val="0"/>
        </w:rPr>
        <w:t>15</w:t>
      </w:r>
      <w:r>
        <w:rPr>
          <w:rFonts w:ascii="Times New Roman"/>
        </w:rPr>
        <w:t xml:space="preserve"> </w:t>
      </w:r>
      <w:r>
        <w:rPr>
          <w:rFonts w:hint="eastAsia" w:ascii="宋体" w:hAnsi="宋体" w:eastAsia="宋体" w:cs="宋体"/>
          <w:kern w:val="0"/>
        </w:rPr>
        <w:t>cm</w:t>
      </w:r>
      <w:r>
        <w:rPr>
          <w:rFonts w:hint="eastAsia"/>
        </w:rPr>
        <w:t>～</w:t>
      </w:r>
      <w:r>
        <w:rPr>
          <w:rFonts w:hint="eastAsia" w:ascii="宋体" w:hAnsi="宋体" w:eastAsia="宋体" w:cs="宋体"/>
          <w:kern w:val="0"/>
        </w:rPr>
        <w:t>20</w:t>
      </w:r>
      <w:r>
        <w:rPr>
          <w:rFonts w:ascii="Times New Roman"/>
        </w:rPr>
        <w:t xml:space="preserve"> </w:t>
      </w:r>
      <w:r>
        <w:rPr>
          <w:rFonts w:hint="eastAsia" w:ascii="宋体" w:hAnsi="宋体" w:eastAsia="宋体" w:cs="宋体"/>
          <w:kern w:val="0"/>
        </w:rPr>
        <w:t>cm</w:t>
      </w:r>
      <w:r>
        <w:rPr>
          <w:rFonts w:hint="eastAsia"/>
          <w:kern w:val="0"/>
        </w:rPr>
        <w:t>，茎粗、节间短，根系洁白、无病虫害、无机械损伤。具体符合</w:t>
      </w:r>
      <w:r>
        <w:rPr>
          <w:rFonts w:hint="eastAsia" w:ascii="宋体" w:hAnsi="宋体" w:eastAsia="宋体" w:cs="宋体"/>
          <w:kern w:val="0"/>
        </w:rPr>
        <w:t>DB14/T</w:t>
      </w:r>
      <w:r>
        <w:rPr>
          <w:rFonts w:ascii="Times New Roman"/>
        </w:rPr>
        <w:t xml:space="preserve"> </w:t>
      </w:r>
      <w:r>
        <w:rPr>
          <w:rFonts w:hint="eastAsia" w:ascii="宋体" w:hAnsi="宋体" w:eastAsia="宋体" w:cs="宋体"/>
          <w:kern w:val="0"/>
        </w:rPr>
        <w:t>1281</w:t>
      </w:r>
      <w:r>
        <w:rPr>
          <w:rFonts w:hint="eastAsia"/>
          <w:kern w:val="0"/>
        </w:rPr>
        <w:t>的要求。</w:t>
      </w:r>
    </w:p>
    <w:p>
      <w:pPr>
        <w:pStyle w:val="104"/>
        <w:spacing w:before="312" w:after="312"/>
      </w:pPr>
      <w:bookmarkStart w:id="36" w:name="_Toc164872874"/>
      <w:r>
        <w:rPr>
          <w:rFonts w:hint="eastAsia"/>
        </w:rPr>
        <w:t>整地施肥</w:t>
      </w:r>
      <w:bookmarkEnd w:id="36"/>
    </w:p>
    <w:p>
      <w:pPr>
        <w:pStyle w:val="105"/>
        <w:spacing w:before="156" w:after="156"/>
      </w:pPr>
      <w:r>
        <w:rPr>
          <w:rFonts w:hint="eastAsia"/>
        </w:rPr>
        <w:t>施肥</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每667</w:t>
      </w:r>
      <w:r>
        <w:rPr>
          <w:rFonts w:ascii="Times New Roman"/>
        </w:rPr>
        <w:t xml:space="preserve"> </w:t>
      </w:r>
      <w:r>
        <w:rPr>
          <w:rFonts w:hint="eastAsia" w:ascii="宋体" w:hAnsi="宋体" w:eastAsia="宋体" w:cs="宋体"/>
          <w:kern w:val="0"/>
        </w:rPr>
        <w:t>m</w:t>
      </w:r>
      <w:r>
        <w:rPr>
          <w:rFonts w:hint="eastAsia" w:ascii="宋体" w:hAnsi="宋体" w:eastAsia="宋体" w:cs="宋体"/>
          <w:kern w:val="0"/>
          <w:vertAlign w:val="superscript"/>
        </w:rPr>
        <w:t>2</w:t>
      </w:r>
      <w:r>
        <w:rPr>
          <w:rFonts w:hint="eastAsia" w:ascii="宋体" w:hAnsi="宋体" w:eastAsia="宋体" w:cs="宋体"/>
          <w:kern w:val="0"/>
        </w:rPr>
        <w:t>施5000</w:t>
      </w:r>
      <w:r>
        <w:rPr>
          <w:rFonts w:ascii="Times New Roman"/>
        </w:rPr>
        <w:t xml:space="preserve"> </w:t>
      </w:r>
      <w:r>
        <w:rPr>
          <w:rFonts w:hint="eastAsia" w:ascii="宋体" w:hAnsi="宋体" w:eastAsia="宋体" w:cs="宋体"/>
          <w:kern w:val="0"/>
        </w:rPr>
        <w:t>kg腐熟优质有机肥、三元复合肥80</w:t>
      </w:r>
      <w:r>
        <w:rPr>
          <w:rFonts w:ascii="Times New Roman"/>
        </w:rPr>
        <w:t xml:space="preserve"> </w:t>
      </w:r>
      <w:r>
        <w:rPr>
          <w:rFonts w:hint="eastAsia" w:ascii="宋体" w:hAnsi="宋体" w:eastAsia="宋体" w:cs="宋体"/>
          <w:kern w:val="0"/>
        </w:rPr>
        <w:t>kg（N、P、K含量各15%）。结合深翻地，撒施60%的有机肥，再按1</w:t>
      </w:r>
      <w:r>
        <w:rPr>
          <w:rFonts w:hint="eastAsia" w:ascii="宋体" w:hAnsi="宋体" w:cs="宋体"/>
          <w:kern w:val="0"/>
          <w:lang w:val="en-US" w:eastAsia="zh-CN"/>
        </w:rPr>
        <w:t>.</w:t>
      </w:r>
      <w:r>
        <w:rPr>
          <w:rFonts w:hint="eastAsia" w:ascii="宋体" w:hAnsi="宋体" w:eastAsia="宋体" w:cs="宋体"/>
          <w:kern w:val="0"/>
        </w:rPr>
        <w:t>3 m的畦间距开宽50</w:t>
      </w:r>
      <w:r>
        <w:rPr>
          <w:rFonts w:ascii="Times New Roman"/>
        </w:rPr>
        <w:t xml:space="preserve"> </w:t>
      </w:r>
      <w:r>
        <w:rPr>
          <w:rFonts w:hint="eastAsia" w:ascii="宋体" w:hAnsi="宋体" w:eastAsia="宋体" w:cs="宋体"/>
          <w:kern w:val="0"/>
        </w:rPr>
        <w:t>cm，深20</w:t>
      </w:r>
      <w:r>
        <w:rPr>
          <w:rFonts w:ascii="Times New Roman"/>
        </w:rPr>
        <w:t xml:space="preserve"> </w:t>
      </w:r>
      <w:r>
        <w:rPr>
          <w:rFonts w:hint="eastAsia" w:ascii="宋体" w:hAnsi="宋体" w:eastAsia="宋体" w:cs="宋体"/>
          <w:kern w:val="0"/>
        </w:rPr>
        <w:t>cm沟，施入其余有机肥和复合肥，并与土壤混匀。肥料使用符合NY/T</w:t>
      </w:r>
      <w:r>
        <w:rPr>
          <w:rFonts w:ascii="Times New Roman"/>
        </w:rPr>
        <w:t xml:space="preserve"> </w:t>
      </w:r>
      <w:r>
        <w:rPr>
          <w:rFonts w:hint="eastAsia" w:ascii="宋体" w:hAnsi="宋体" w:eastAsia="宋体" w:cs="宋体"/>
          <w:kern w:val="0"/>
        </w:rPr>
        <w:t>496的要求。</w:t>
      </w:r>
      <w:bookmarkStart w:id="45" w:name="_GoBack"/>
      <w:bookmarkEnd w:id="45"/>
    </w:p>
    <w:p>
      <w:pPr>
        <w:pStyle w:val="105"/>
        <w:spacing w:before="156" w:after="156"/>
      </w:pPr>
      <w:r>
        <w:rPr>
          <w:rFonts w:hint="eastAsia"/>
        </w:rPr>
        <w:t>起垄</w:t>
      </w:r>
    </w:p>
    <w:p>
      <w:pPr>
        <w:widowControl/>
        <w:spacing w:line="360" w:lineRule="auto"/>
        <w:ind w:firstLine="420" w:firstLineChars="200"/>
        <w:jc w:val="left"/>
        <w:rPr>
          <w:kern w:val="0"/>
        </w:rPr>
      </w:pPr>
      <w:r>
        <w:rPr>
          <w:rFonts w:hint="eastAsia" w:ascii="宋体" w:hAnsi="宋体" w:eastAsia="宋体" w:cs="宋体"/>
          <w:kern w:val="0"/>
        </w:rPr>
        <w:t>起垄机延塑料大棚延长方向起垄，设置垄面宽50</w:t>
      </w:r>
      <w:r>
        <w:rPr>
          <w:rFonts w:ascii="Times New Roman"/>
        </w:rPr>
        <w:t xml:space="preserve"> </w:t>
      </w:r>
      <w:r>
        <w:rPr>
          <w:rFonts w:hint="eastAsia" w:ascii="宋体" w:hAnsi="宋体" w:eastAsia="宋体" w:cs="宋体"/>
          <w:kern w:val="0"/>
        </w:rPr>
        <w:t>cm参数进行作业，垄距1.8</w:t>
      </w:r>
      <w:r>
        <w:rPr>
          <w:rFonts w:ascii="Times New Roman"/>
        </w:rPr>
        <w:t xml:space="preserve"> </w:t>
      </w:r>
      <w:r>
        <w:rPr>
          <w:rFonts w:hint="eastAsia" w:ascii="宋体" w:hAnsi="宋体" w:eastAsia="宋体" w:cs="宋体"/>
          <w:kern w:val="0"/>
        </w:rPr>
        <w:t>m。距垄边15</w:t>
      </w:r>
      <w:r>
        <w:rPr>
          <w:rFonts w:ascii="Times New Roman"/>
        </w:rPr>
        <w:t xml:space="preserve"> </w:t>
      </w:r>
      <w:r>
        <w:rPr>
          <w:rFonts w:hint="eastAsia" w:ascii="宋体" w:hAnsi="宋体" w:eastAsia="宋体" w:cs="宋体"/>
          <w:kern w:val="0"/>
        </w:rPr>
        <w:t>cm处铺设滴灌带，覆盖地膜。滴灌设备符合GB/T</w:t>
      </w:r>
      <w:r>
        <w:rPr>
          <w:rFonts w:ascii="Times New Roman"/>
        </w:rPr>
        <w:t xml:space="preserve"> </w:t>
      </w:r>
      <w:r>
        <w:rPr>
          <w:rFonts w:hint="eastAsia" w:ascii="宋体" w:hAnsi="宋体" w:eastAsia="宋体" w:cs="宋体"/>
          <w:kern w:val="0"/>
        </w:rPr>
        <w:t>17187的要求。</w:t>
      </w:r>
    </w:p>
    <w:p>
      <w:pPr>
        <w:pStyle w:val="104"/>
        <w:spacing w:before="312" w:after="312"/>
      </w:pPr>
      <w:bookmarkStart w:id="37" w:name="_Toc164872875"/>
      <w:r>
        <w:rPr>
          <w:rFonts w:hint="eastAsia"/>
        </w:rPr>
        <w:t>定植</w:t>
      </w:r>
      <w:bookmarkEnd w:id="37"/>
    </w:p>
    <w:p>
      <w:pPr>
        <w:pStyle w:val="105"/>
        <w:spacing w:before="156" w:after="156"/>
      </w:pPr>
      <w:r>
        <w:rPr>
          <w:rFonts w:hint="eastAsia"/>
        </w:rPr>
        <w:t>定植时间</w:t>
      </w:r>
    </w:p>
    <w:p>
      <w:pPr>
        <w:widowControl/>
        <w:spacing w:line="360" w:lineRule="auto"/>
        <w:ind w:firstLine="420" w:firstLineChars="200"/>
        <w:jc w:val="left"/>
        <w:rPr>
          <w:kern w:val="0"/>
        </w:rPr>
      </w:pPr>
      <w:r>
        <w:rPr>
          <w:rFonts w:hint="eastAsia" w:ascii="宋体" w:hAnsi="宋体" w:eastAsia="宋体" w:cs="宋体"/>
          <w:kern w:val="0"/>
        </w:rPr>
        <w:t>春提早番茄3月底至4月初定植，秋延后番茄7月中下旬定植。</w:t>
      </w:r>
    </w:p>
    <w:p>
      <w:pPr>
        <w:pStyle w:val="105"/>
        <w:spacing w:before="156" w:after="156"/>
      </w:pPr>
      <w:r>
        <w:rPr>
          <w:rFonts w:hint="eastAsia"/>
        </w:rPr>
        <w:t>定植方法</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单行密植或双行定植，可利用移栽机作业，苗陀低于畦面1</w:t>
      </w:r>
      <w:r>
        <w:rPr>
          <w:rFonts w:ascii="Times New Roman"/>
        </w:rPr>
        <w:t xml:space="preserve"> </w:t>
      </w:r>
      <w:r>
        <w:rPr>
          <w:rFonts w:hint="eastAsia" w:ascii="宋体" w:hAnsi="宋体" w:eastAsia="宋体" w:cs="宋体"/>
          <w:kern w:val="0"/>
        </w:rPr>
        <w:t>cm，封严定植孔，及时浇灌定植水。</w:t>
      </w:r>
    </w:p>
    <w:p>
      <w:pPr>
        <w:pStyle w:val="105"/>
        <w:spacing w:before="156" w:after="156"/>
      </w:pPr>
      <w:r>
        <w:rPr>
          <w:rFonts w:hint="eastAsia"/>
        </w:rPr>
        <w:t>定植密度</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单行密植株距15</w:t>
      </w:r>
      <w:r>
        <w:rPr>
          <w:rFonts w:ascii="Times New Roman"/>
        </w:rPr>
        <w:t xml:space="preserve"> </w:t>
      </w:r>
      <w:r>
        <w:rPr>
          <w:rFonts w:hint="eastAsia" w:ascii="宋体" w:hAnsi="宋体" w:eastAsia="宋体" w:cs="宋体"/>
          <w:kern w:val="0"/>
        </w:rPr>
        <w:t>cm～20</w:t>
      </w:r>
      <w:r>
        <w:rPr>
          <w:rFonts w:ascii="Times New Roman"/>
        </w:rPr>
        <w:t xml:space="preserve"> </w:t>
      </w:r>
      <w:r>
        <w:rPr>
          <w:rFonts w:hint="eastAsia" w:ascii="宋体" w:hAnsi="宋体" w:eastAsia="宋体" w:cs="宋体"/>
          <w:kern w:val="0"/>
        </w:rPr>
        <w:t>cm；双行定植株距30</w:t>
      </w:r>
      <w:r>
        <w:rPr>
          <w:rFonts w:ascii="Times New Roman"/>
        </w:rPr>
        <w:t xml:space="preserve"> </w:t>
      </w:r>
      <w:r>
        <w:rPr>
          <w:rFonts w:hint="eastAsia" w:ascii="宋体" w:hAnsi="宋体" w:eastAsia="宋体" w:cs="宋体"/>
          <w:kern w:val="0"/>
        </w:rPr>
        <w:t>cm，垄面行距30</w:t>
      </w:r>
      <w:r>
        <w:rPr>
          <w:rFonts w:ascii="Times New Roman"/>
        </w:rPr>
        <w:t xml:space="preserve"> </w:t>
      </w:r>
      <w:r>
        <w:rPr>
          <w:rFonts w:hint="eastAsia" w:ascii="宋体" w:hAnsi="宋体" w:eastAsia="宋体" w:cs="宋体"/>
          <w:kern w:val="0"/>
        </w:rPr>
        <w:t>cm；每667</w:t>
      </w:r>
      <w:r>
        <w:rPr>
          <w:rFonts w:ascii="Times New Roman"/>
        </w:rPr>
        <w:t xml:space="preserve"> </w:t>
      </w:r>
      <w:r>
        <w:rPr>
          <w:rFonts w:hint="eastAsia" w:ascii="宋体" w:hAnsi="宋体" w:eastAsia="宋体" w:cs="宋体"/>
          <w:kern w:val="0"/>
        </w:rPr>
        <w:t>m</w:t>
      </w:r>
      <w:r>
        <w:rPr>
          <w:rFonts w:hint="eastAsia" w:ascii="宋体" w:hAnsi="宋体" w:eastAsia="宋体" w:cs="宋体"/>
          <w:kern w:val="0"/>
          <w:vertAlign w:val="superscript"/>
        </w:rPr>
        <w:t>2</w:t>
      </w:r>
      <w:r>
        <w:rPr>
          <w:rFonts w:hint="eastAsia" w:ascii="宋体" w:hAnsi="宋体" w:eastAsia="宋体" w:cs="宋体"/>
          <w:kern w:val="0"/>
        </w:rPr>
        <w:t>定植2</w:t>
      </w:r>
      <w:r>
        <w:rPr>
          <w:rFonts w:ascii="Times New Roman"/>
        </w:rPr>
        <w:t xml:space="preserve"> </w:t>
      </w:r>
      <w:r>
        <w:rPr>
          <w:rFonts w:hint="eastAsia" w:ascii="宋体" w:hAnsi="宋体" w:eastAsia="宋体" w:cs="宋体"/>
          <w:kern w:val="0"/>
        </w:rPr>
        <w:t>000株左右。</w:t>
      </w:r>
    </w:p>
    <w:p>
      <w:pPr>
        <w:pStyle w:val="104"/>
        <w:spacing w:before="312" w:after="312"/>
      </w:pPr>
      <w:bookmarkStart w:id="38" w:name="_Toc164872876"/>
      <w:r>
        <w:rPr>
          <w:rFonts w:hint="eastAsia"/>
        </w:rPr>
        <w:t>田间管理</w:t>
      </w:r>
      <w:bookmarkEnd w:id="38"/>
    </w:p>
    <w:p>
      <w:pPr>
        <w:pStyle w:val="105"/>
        <w:spacing w:before="156" w:after="156"/>
      </w:pPr>
      <w:r>
        <w:rPr>
          <w:rFonts w:hint="eastAsia"/>
        </w:rPr>
        <w:t>温度管理</w:t>
      </w:r>
    </w:p>
    <w:p>
      <w:pPr>
        <w:pStyle w:val="65"/>
        <w:spacing w:before="156" w:after="156"/>
      </w:pPr>
      <w:r>
        <w:rPr>
          <w:rFonts w:hint="eastAsia"/>
        </w:rPr>
        <w:t>春提早</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定植后缓苗阶段，白天温度控制在20</w:t>
      </w:r>
      <w:r>
        <w:rPr>
          <w:rFonts w:ascii="Times New Roman"/>
        </w:rPr>
        <w:t xml:space="preserve"> </w:t>
      </w:r>
      <w:r>
        <w:rPr>
          <w:rFonts w:hint="eastAsia" w:ascii="宋体" w:hAnsi="宋体" w:eastAsia="宋体" w:cs="宋体"/>
          <w:kern w:val="0"/>
        </w:rPr>
        <w:t>℃～25 ℃，夜间12</w:t>
      </w:r>
      <w:r>
        <w:rPr>
          <w:rFonts w:ascii="Times New Roman"/>
        </w:rPr>
        <w:t xml:space="preserve"> </w:t>
      </w:r>
      <w:r>
        <w:rPr>
          <w:rFonts w:hint="eastAsia" w:ascii="宋体" w:hAnsi="宋体" w:eastAsia="宋体" w:cs="宋体"/>
          <w:kern w:val="0"/>
        </w:rPr>
        <w:t>℃～15 ℃；缓苗后，白天温度控制在23 ℃～27 ℃，夜间13 ℃～17 ℃；结果期白天温度25 ℃～30 ℃，夜间不低于15 ℃。白天室内温度超过30 ℃时打开通风口，低于25 ℃时关闭通风口。极端天气下，可进行辅助加温。</w:t>
      </w:r>
    </w:p>
    <w:p>
      <w:pPr>
        <w:pStyle w:val="65"/>
        <w:spacing w:before="156" w:after="156"/>
      </w:pPr>
      <w:r>
        <w:rPr>
          <w:rFonts w:hint="eastAsia"/>
        </w:rPr>
        <w:t>秋延后</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定植后，在缓苗期加盖遮阳网。缓苗后昼夜放风，不放底风，放腰风与顶风。室外最低温度降到15</w:t>
      </w:r>
      <w:r>
        <w:rPr>
          <w:rFonts w:ascii="Times New Roman"/>
        </w:rPr>
        <w:t xml:space="preserve"> </w:t>
      </w:r>
      <w:r>
        <w:rPr>
          <w:rFonts w:hint="eastAsia" w:ascii="宋体" w:hAnsi="宋体" w:eastAsia="宋体" w:cs="宋体"/>
          <w:kern w:val="0"/>
        </w:rPr>
        <w:t>℃以下时，夜间停止放风，白天控制在25</w:t>
      </w:r>
      <w:r>
        <w:rPr>
          <w:rFonts w:ascii="Times New Roman"/>
        </w:rPr>
        <w:t xml:space="preserve"> </w:t>
      </w:r>
      <w:r>
        <w:rPr>
          <w:rFonts w:hint="eastAsia" w:ascii="宋体" w:hAnsi="宋体" w:eastAsia="宋体" w:cs="宋体"/>
          <w:kern w:val="0"/>
        </w:rPr>
        <w:t>℃～30</w:t>
      </w:r>
      <w:r>
        <w:rPr>
          <w:rFonts w:ascii="Times New Roman"/>
        </w:rPr>
        <w:t xml:space="preserve"> </w:t>
      </w:r>
      <w:r>
        <w:rPr>
          <w:rFonts w:hint="eastAsia" w:ascii="宋体" w:hAnsi="宋体" w:eastAsia="宋体" w:cs="宋体"/>
          <w:kern w:val="0"/>
        </w:rPr>
        <w:t>℃，夜间15</w:t>
      </w:r>
      <w:r>
        <w:rPr>
          <w:rFonts w:ascii="Times New Roman"/>
        </w:rPr>
        <w:t xml:space="preserve"> </w:t>
      </w:r>
      <w:r>
        <w:rPr>
          <w:rFonts w:hint="eastAsia" w:ascii="宋体" w:hAnsi="宋体" w:eastAsia="宋体" w:cs="宋体"/>
          <w:kern w:val="0"/>
        </w:rPr>
        <w:t>℃～17</w:t>
      </w:r>
      <w:r>
        <w:rPr>
          <w:rFonts w:ascii="Times New Roman"/>
        </w:rPr>
        <w:t xml:space="preserve"> </w:t>
      </w:r>
      <w:r>
        <w:rPr>
          <w:rFonts w:hint="eastAsia" w:ascii="宋体" w:hAnsi="宋体" w:eastAsia="宋体" w:cs="宋体"/>
          <w:kern w:val="0"/>
        </w:rPr>
        <w:t>℃。10月下旬全棚扣严后，只在中午于棚顶通风。</w:t>
      </w:r>
    </w:p>
    <w:p>
      <w:pPr>
        <w:pStyle w:val="105"/>
        <w:spacing w:before="156" w:after="156"/>
      </w:pPr>
      <w:r>
        <w:rPr>
          <w:rFonts w:hint="eastAsia"/>
        </w:rPr>
        <w:t>光照管理</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采用透光性好的无滴膜，保持膜面清洁。在阴、雨、雪天气下，可利用高压钠灯、金属卤化物灯或LED灯进行人工补光。</w:t>
      </w:r>
    </w:p>
    <w:p>
      <w:pPr>
        <w:pStyle w:val="105"/>
        <w:spacing w:before="156" w:after="156"/>
      </w:pPr>
      <w:r>
        <w:rPr>
          <w:rFonts w:hint="eastAsia"/>
        </w:rPr>
        <w:t>湿度管理</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缓苗期空气相对湿度控制在80%</w:t>
      </w:r>
      <w:r>
        <w:rPr>
          <w:rFonts w:hint="eastAsia"/>
        </w:rPr>
        <w:t>～</w:t>
      </w:r>
      <w:r>
        <w:rPr>
          <w:rFonts w:hint="eastAsia" w:ascii="宋体" w:hAnsi="宋体" w:eastAsia="宋体" w:cs="宋体"/>
          <w:kern w:val="0"/>
        </w:rPr>
        <w:t>85%，开花坐果期控制在60%</w:t>
      </w:r>
      <w:r>
        <w:rPr>
          <w:rFonts w:hint="eastAsia"/>
        </w:rPr>
        <w:t>～</w:t>
      </w:r>
      <w:r>
        <w:rPr>
          <w:rFonts w:hint="eastAsia" w:ascii="宋体" w:hAnsi="宋体" w:eastAsia="宋体" w:cs="宋体"/>
          <w:kern w:val="0"/>
        </w:rPr>
        <w:t>65%，结果期控制在50%</w:t>
      </w:r>
      <w:r>
        <w:rPr>
          <w:rFonts w:hint="eastAsia"/>
        </w:rPr>
        <w:t>～</w:t>
      </w:r>
      <w:r>
        <w:rPr>
          <w:rFonts w:hint="eastAsia" w:ascii="宋体" w:hAnsi="宋体" w:eastAsia="宋体" w:cs="宋体"/>
          <w:kern w:val="0"/>
        </w:rPr>
        <w:t>55%。</w:t>
      </w:r>
    </w:p>
    <w:p>
      <w:pPr>
        <w:pStyle w:val="105"/>
        <w:spacing w:before="156" w:after="156"/>
      </w:pPr>
      <w:r>
        <w:rPr>
          <w:rFonts w:hint="eastAsia"/>
        </w:rPr>
        <w:t>水肥管理</w:t>
      </w:r>
    </w:p>
    <w:p>
      <w:pPr>
        <w:widowControl/>
        <w:spacing w:line="360" w:lineRule="auto"/>
        <w:ind w:firstLine="420" w:firstLineChars="200"/>
        <w:jc w:val="left"/>
        <w:rPr>
          <w:kern w:val="0"/>
        </w:rPr>
      </w:pPr>
      <w:r>
        <w:rPr>
          <w:rFonts w:hint="eastAsia" w:ascii="宋体" w:hAnsi="宋体" w:eastAsia="宋体" w:cs="宋体"/>
          <w:kern w:val="0"/>
        </w:rPr>
        <w:t>采用水肥一体化，滴灌设备符合GB/T 17187的要求。土壤相对湿度保持在60%</w:t>
      </w:r>
      <w:r>
        <w:rPr>
          <w:rFonts w:hint="eastAsia"/>
        </w:rPr>
        <w:t>～</w:t>
      </w:r>
      <w:r>
        <w:rPr>
          <w:rFonts w:hint="eastAsia" w:ascii="宋体" w:hAnsi="宋体" w:eastAsia="宋体" w:cs="宋体"/>
          <w:kern w:val="0"/>
        </w:rPr>
        <w:t>70%。一次清水一次肥水，每667</w:t>
      </w:r>
      <w:r>
        <w:rPr>
          <w:rFonts w:ascii="Times New Roman"/>
        </w:rPr>
        <w:t xml:space="preserve"> </w:t>
      </w:r>
      <w:r>
        <w:rPr>
          <w:rFonts w:hint="eastAsia" w:ascii="宋体" w:hAnsi="宋体" w:eastAsia="宋体" w:cs="宋体"/>
          <w:kern w:val="0"/>
        </w:rPr>
        <w:t>m</w:t>
      </w:r>
      <w:r>
        <w:rPr>
          <w:rFonts w:hint="eastAsia" w:ascii="宋体" w:hAnsi="宋体" w:eastAsia="宋体" w:cs="宋体"/>
          <w:kern w:val="0"/>
          <w:vertAlign w:val="superscript"/>
        </w:rPr>
        <w:t>2</w:t>
      </w:r>
      <w:r>
        <w:rPr>
          <w:rFonts w:hint="eastAsia" w:ascii="宋体" w:hAnsi="宋体" w:eastAsia="宋体" w:cs="宋体"/>
          <w:kern w:val="0"/>
        </w:rPr>
        <w:t>每次施配方肥15</w:t>
      </w:r>
      <w:r>
        <w:rPr>
          <w:rFonts w:ascii="Times New Roman"/>
        </w:rPr>
        <w:t xml:space="preserve"> </w:t>
      </w:r>
      <w:r>
        <w:rPr>
          <w:rFonts w:hint="eastAsia" w:ascii="宋体" w:hAnsi="宋体" w:eastAsia="宋体" w:cs="宋体"/>
          <w:kern w:val="0"/>
        </w:rPr>
        <w:t>kg</w:t>
      </w:r>
      <w:r>
        <w:rPr>
          <w:rFonts w:hint="eastAsia"/>
        </w:rPr>
        <w:t>～</w:t>
      </w:r>
      <w:r>
        <w:rPr>
          <w:rFonts w:hint="eastAsia" w:ascii="宋体" w:hAnsi="宋体" w:eastAsia="宋体" w:cs="宋体"/>
          <w:kern w:val="0"/>
        </w:rPr>
        <w:t>18</w:t>
      </w:r>
      <w:r>
        <w:rPr>
          <w:rFonts w:ascii="Times New Roman"/>
        </w:rPr>
        <w:t xml:space="preserve"> </w:t>
      </w:r>
      <w:r>
        <w:rPr>
          <w:rFonts w:hint="eastAsia" w:ascii="宋体" w:hAnsi="宋体" w:eastAsia="宋体" w:cs="宋体"/>
          <w:kern w:val="0"/>
        </w:rPr>
        <w:t>kg，定植至开花坐果期滴灌追肥2</w:t>
      </w:r>
      <w:r>
        <w:rPr>
          <w:rFonts w:hint="eastAsia"/>
        </w:rPr>
        <w:t>～</w:t>
      </w:r>
      <w:r>
        <w:rPr>
          <w:rFonts w:hint="eastAsia" w:ascii="宋体" w:hAnsi="宋体" w:eastAsia="宋体" w:cs="宋体"/>
          <w:kern w:val="0"/>
        </w:rPr>
        <w:t>4次，开花后至拉秧期间滴灌追肥10</w:t>
      </w:r>
      <w:r>
        <w:rPr>
          <w:rFonts w:hint="eastAsia"/>
        </w:rPr>
        <w:t>～</w:t>
      </w:r>
      <w:r>
        <w:rPr>
          <w:rFonts w:hint="eastAsia" w:ascii="宋体" w:hAnsi="宋体" w:eastAsia="宋体" w:cs="宋体"/>
          <w:kern w:val="0"/>
        </w:rPr>
        <w:t>12次。</w:t>
      </w:r>
    </w:p>
    <w:p>
      <w:pPr>
        <w:pStyle w:val="105"/>
        <w:spacing w:before="156" w:after="156"/>
      </w:pPr>
      <w:r>
        <w:rPr>
          <w:rFonts w:hint="eastAsia"/>
        </w:rPr>
        <w:t>植株调整</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吊蔓栽培，单干整枝，最后一个花序前留2片叶摘心；及时疏花疏果，大果型每穗留3</w:t>
      </w:r>
      <w:r>
        <w:rPr>
          <w:rFonts w:hint="eastAsia"/>
        </w:rPr>
        <w:t>～</w:t>
      </w:r>
      <w:r>
        <w:rPr>
          <w:rFonts w:hint="eastAsia" w:ascii="宋体" w:hAnsi="宋体" w:eastAsia="宋体" w:cs="宋体"/>
          <w:kern w:val="0"/>
        </w:rPr>
        <w:t>4个果、中果型4</w:t>
      </w:r>
      <w:r>
        <w:rPr>
          <w:rFonts w:hint="eastAsia"/>
        </w:rPr>
        <w:t>～</w:t>
      </w:r>
      <w:r>
        <w:rPr>
          <w:rFonts w:hint="eastAsia" w:ascii="宋体" w:hAnsi="宋体" w:eastAsia="宋体" w:cs="宋体"/>
          <w:kern w:val="0"/>
        </w:rPr>
        <w:t>5个果；及时摘除黄叶、病叶、老叶；可利用熊蜂授粉保花保果，具体操作执行NY/T 3045的规定。</w:t>
      </w:r>
    </w:p>
    <w:p>
      <w:pPr>
        <w:pStyle w:val="104"/>
        <w:spacing w:before="312" w:after="312"/>
      </w:pPr>
      <w:bookmarkStart w:id="39" w:name="_Toc164872877"/>
      <w:r>
        <w:rPr>
          <w:rFonts w:hint="eastAsia"/>
        </w:rPr>
        <w:t>二氧化碳施肥</w:t>
      </w:r>
      <w:bookmarkEnd w:id="39"/>
    </w:p>
    <w:p>
      <w:pPr>
        <w:pStyle w:val="105"/>
        <w:spacing w:before="156" w:after="156"/>
      </w:pPr>
      <w:r>
        <w:rPr>
          <w:rFonts w:hint="eastAsia"/>
        </w:rPr>
        <w:t>施肥时间</w:t>
      </w:r>
    </w:p>
    <w:p>
      <w:pPr>
        <w:widowControl/>
        <w:spacing w:line="360" w:lineRule="auto"/>
        <w:ind w:firstLine="420" w:firstLineChars="200"/>
        <w:jc w:val="left"/>
        <w:rPr>
          <w:kern w:val="0"/>
        </w:rPr>
      </w:pPr>
      <w:r>
        <w:rPr>
          <w:rFonts w:hint="eastAsia" w:ascii="宋体" w:hAnsi="宋体" w:eastAsia="宋体" w:cs="宋体"/>
          <w:kern w:val="0"/>
        </w:rPr>
        <w:t>缓苗后开始施用，当塑料大棚内CO</w:t>
      </w:r>
      <w:r>
        <w:rPr>
          <w:rFonts w:hint="eastAsia" w:ascii="宋体" w:hAnsi="宋体" w:eastAsia="宋体" w:cs="宋体"/>
          <w:kern w:val="0"/>
          <w:vertAlign w:val="subscript"/>
        </w:rPr>
        <w:t>2</w:t>
      </w:r>
      <w:r>
        <w:rPr>
          <w:rFonts w:hint="eastAsia" w:ascii="宋体" w:hAnsi="宋体" w:eastAsia="宋体" w:cs="宋体"/>
          <w:kern w:val="0"/>
        </w:rPr>
        <w:t>浓度低于大气浓度时，生长初期施用1.5 h，生长盛期施用2 h；当室内温度达到30</w:t>
      </w:r>
      <w:r>
        <w:rPr>
          <w:rFonts w:ascii="Times New Roman"/>
        </w:rPr>
        <w:t xml:space="preserve"> </w:t>
      </w:r>
      <w:r>
        <w:rPr>
          <w:rFonts w:hint="eastAsia" w:ascii="宋体" w:hAnsi="宋体" w:eastAsia="宋体" w:cs="宋体"/>
          <w:kern w:val="0"/>
        </w:rPr>
        <w:t>℃且室内CO</w:t>
      </w:r>
      <w:r>
        <w:rPr>
          <w:rFonts w:hint="eastAsia" w:ascii="宋体" w:hAnsi="宋体" w:eastAsia="宋体" w:cs="宋体"/>
          <w:kern w:val="0"/>
          <w:vertAlign w:val="subscript"/>
        </w:rPr>
        <w:t>2</w:t>
      </w:r>
      <w:r>
        <w:rPr>
          <w:rFonts w:hint="eastAsia" w:ascii="宋体" w:hAnsi="宋体" w:eastAsia="宋体" w:cs="宋体"/>
          <w:kern w:val="0"/>
        </w:rPr>
        <w:t>浓度低于大气浓度时，根据需要适当打开通风口，通风前0.5</w:t>
      </w:r>
      <w:r>
        <w:rPr>
          <w:rFonts w:ascii="Times New Roman"/>
        </w:rPr>
        <w:t xml:space="preserve"> </w:t>
      </w:r>
      <w:r>
        <w:rPr>
          <w:rFonts w:hint="eastAsia" w:ascii="宋体" w:hAnsi="宋体" w:eastAsia="宋体" w:cs="宋体"/>
          <w:kern w:val="0"/>
        </w:rPr>
        <w:t>h</w:t>
      </w:r>
      <w:r>
        <w:rPr>
          <w:rFonts w:hint="eastAsia"/>
        </w:rPr>
        <w:t>～</w:t>
      </w:r>
      <w:r>
        <w:rPr>
          <w:rFonts w:hint="eastAsia" w:ascii="宋体" w:hAnsi="宋体" w:eastAsia="宋体" w:cs="宋体"/>
          <w:kern w:val="0"/>
        </w:rPr>
        <w:t>1</w:t>
      </w:r>
      <w:r>
        <w:rPr>
          <w:rFonts w:ascii="Times New Roman"/>
        </w:rPr>
        <w:t xml:space="preserve"> </w:t>
      </w:r>
      <w:r>
        <w:rPr>
          <w:rFonts w:hint="eastAsia" w:ascii="宋体" w:hAnsi="宋体" w:eastAsia="宋体" w:cs="宋体"/>
          <w:kern w:val="0"/>
        </w:rPr>
        <w:t>h停止施用；晴天提早施用，阴天推迟施用，雨雪天不施用。</w:t>
      </w:r>
    </w:p>
    <w:p>
      <w:pPr>
        <w:pStyle w:val="105"/>
        <w:spacing w:before="156" w:after="156"/>
      </w:pPr>
      <w:r>
        <w:rPr>
          <w:rFonts w:hint="eastAsia"/>
        </w:rPr>
        <w:t>施肥方法</w:t>
      </w:r>
    </w:p>
    <w:p>
      <w:pPr>
        <w:widowControl/>
        <w:spacing w:line="360" w:lineRule="auto"/>
        <w:ind w:firstLine="420" w:firstLineChars="200"/>
        <w:jc w:val="left"/>
        <w:rPr>
          <w:kern w:val="0"/>
        </w:rPr>
      </w:pPr>
      <w:r>
        <w:rPr>
          <w:rFonts w:hint="eastAsia"/>
          <w:kern w:val="0"/>
        </w:rPr>
        <w:t>具</w:t>
      </w:r>
      <w:r>
        <w:rPr>
          <w:rFonts w:hint="eastAsia" w:ascii="宋体" w:hAnsi="宋体" w:eastAsia="宋体" w:cs="宋体"/>
          <w:kern w:val="0"/>
        </w:rPr>
        <w:t>体操作执行DB14/T</w:t>
      </w:r>
      <w:r>
        <w:rPr>
          <w:rFonts w:ascii="Times New Roman"/>
        </w:rPr>
        <w:t xml:space="preserve"> </w:t>
      </w:r>
      <w:r>
        <w:rPr>
          <w:rFonts w:hint="eastAsia" w:ascii="宋体" w:hAnsi="宋体" w:eastAsia="宋体" w:cs="宋体"/>
          <w:kern w:val="0"/>
        </w:rPr>
        <w:t>1288的规定。</w:t>
      </w:r>
    </w:p>
    <w:p>
      <w:pPr>
        <w:pStyle w:val="105"/>
        <w:spacing w:before="156" w:after="156"/>
      </w:pPr>
      <w:r>
        <w:rPr>
          <w:rFonts w:hint="eastAsia"/>
        </w:rPr>
        <w:t>施用浓度</w:t>
      </w:r>
    </w:p>
    <w:p>
      <w:pPr>
        <w:widowControl/>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在温室内光照、温度和湿度环境较适宜的条件下进行CO</w:t>
      </w:r>
      <w:r>
        <w:rPr>
          <w:rFonts w:hint="eastAsia" w:ascii="宋体" w:hAnsi="宋体" w:eastAsia="宋体" w:cs="宋体"/>
          <w:kern w:val="0"/>
          <w:vertAlign w:val="subscript"/>
        </w:rPr>
        <w:t>2</w:t>
      </w:r>
      <w:r>
        <w:rPr>
          <w:rFonts w:hint="eastAsia" w:ascii="宋体" w:hAnsi="宋体" w:eastAsia="宋体" w:cs="宋体"/>
          <w:kern w:val="0"/>
        </w:rPr>
        <w:t>施肥。缓苗后CO</w:t>
      </w:r>
      <w:r>
        <w:rPr>
          <w:rFonts w:hint="eastAsia" w:ascii="宋体" w:hAnsi="宋体" w:eastAsia="宋体" w:cs="宋体"/>
          <w:kern w:val="0"/>
          <w:vertAlign w:val="subscript"/>
        </w:rPr>
        <w:t>2</w:t>
      </w:r>
      <w:r>
        <w:rPr>
          <w:rFonts w:hint="eastAsia" w:ascii="宋体" w:hAnsi="宋体" w:eastAsia="宋体" w:cs="宋体"/>
          <w:kern w:val="0"/>
        </w:rPr>
        <w:t>浓度控制在600</w:t>
      </w:r>
      <w:r>
        <w:rPr>
          <w:rFonts w:ascii="Times New Roman"/>
        </w:rPr>
        <w:t xml:space="preserve"> </w:t>
      </w:r>
      <w:r>
        <w:rPr>
          <w:rFonts w:hint="eastAsia" w:ascii="宋体" w:hAnsi="宋体" w:eastAsia="宋体" w:cs="宋体"/>
        </w:rPr>
        <w:t>mg</w:t>
      </w:r>
      <w:r>
        <w:rPr>
          <w:rFonts w:ascii="Times New Roman"/>
        </w:rPr>
        <w:t>·</w:t>
      </w:r>
      <w:r>
        <w:rPr>
          <w:rFonts w:hint="eastAsia" w:ascii="宋体" w:hAnsi="宋体" w:eastAsia="宋体" w:cs="宋体"/>
        </w:rPr>
        <w:t>L</w:t>
      </w:r>
      <w:r>
        <w:rPr>
          <w:rFonts w:hint="eastAsia" w:ascii="宋体" w:hAnsi="宋体" w:eastAsia="宋体" w:cs="宋体"/>
          <w:vertAlign w:val="superscript"/>
        </w:rPr>
        <w:t>-1</w:t>
      </w:r>
      <w:r>
        <w:rPr>
          <w:rFonts w:hint="eastAsia" w:ascii="宋体" w:hAnsi="宋体" w:eastAsia="宋体" w:cs="宋体"/>
          <w:kern w:val="0"/>
        </w:rPr>
        <w:t xml:space="preserve"> </w:t>
      </w:r>
      <w:r>
        <w:rPr>
          <w:rFonts w:hint="eastAsia" w:ascii="宋体" w:hAnsi="宋体" w:eastAsia="宋体" w:cs="宋体"/>
        </w:rPr>
        <w:t>～</w:t>
      </w:r>
      <w:r>
        <w:rPr>
          <w:rFonts w:hint="eastAsia" w:ascii="宋体" w:hAnsi="宋体" w:eastAsia="宋体" w:cs="宋体"/>
          <w:kern w:val="0"/>
        </w:rPr>
        <w:t>800</w:t>
      </w:r>
      <w:r>
        <w:rPr>
          <w:rFonts w:ascii="Times New Roman"/>
        </w:rPr>
        <w:t xml:space="preserve"> </w:t>
      </w:r>
      <w:r>
        <w:rPr>
          <w:rFonts w:hint="eastAsia" w:ascii="宋体" w:hAnsi="宋体" w:eastAsia="宋体" w:cs="宋体"/>
        </w:rPr>
        <w:t>mg</w:t>
      </w:r>
      <w:r>
        <w:rPr>
          <w:rFonts w:ascii="Times New Roman"/>
        </w:rPr>
        <w:t>·</w:t>
      </w:r>
      <w:r>
        <w:rPr>
          <w:rFonts w:hint="eastAsia" w:ascii="宋体" w:hAnsi="宋体" w:eastAsia="宋体" w:cs="宋体"/>
        </w:rPr>
        <w:t>L</w:t>
      </w:r>
      <w:r>
        <w:rPr>
          <w:rFonts w:hint="eastAsia" w:ascii="宋体" w:hAnsi="宋体" w:eastAsia="宋体" w:cs="宋体"/>
          <w:vertAlign w:val="superscript"/>
        </w:rPr>
        <w:t>-1</w:t>
      </w:r>
      <w:r>
        <w:rPr>
          <w:rFonts w:hint="eastAsia" w:ascii="宋体" w:hAnsi="宋体" w:eastAsia="宋体" w:cs="宋体"/>
          <w:kern w:val="0"/>
        </w:rPr>
        <w:t>，结果期CO</w:t>
      </w:r>
      <w:r>
        <w:rPr>
          <w:rFonts w:hint="eastAsia" w:ascii="宋体" w:hAnsi="宋体" w:eastAsia="宋体" w:cs="宋体"/>
          <w:kern w:val="0"/>
          <w:vertAlign w:val="subscript"/>
        </w:rPr>
        <w:t>2</w:t>
      </w:r>
      <w:r>
        <w:rPr>
          <w:rFonts w:hint="eastAsia" w:ascii="宋体" w:hAnsi="宋体" w:eastAsia="宋体" w:cs="宋体"/>
          <w:kern w:val="0"/>
        </w:rPr>
        <w:t>浓度控制在800</w:t>
      </w:r>
      <w:r>
        <w:rPr>
          <w:rFonts w:ascii="Times New Roman"/>
        </w:rPr>
        <w:t xml:space="preserve"> </w:t>
      </w:r>
      <w:r>
        <w:rPr>
          <w:rFonts w:hint="eastAsia" w:ascii="宋体" w:hAnsi="宋体" w:eastAsia="宋体" w:cs="宋体"/>
        </w:rPr>
        <w:t>mg</w:t>
      </w:r>
      <w:r>
        <w:rPr>
          <w:rFonts w:ascii="Times New Roman"/>
        </w:rPr>
        <w:t>·</w:t>
      </w:r>
      <w:r>
        <w:rPr>
          <w:rFonts w:hint="eastAsia" w:ascii="宋体" w:hAnsi="宋体" w:eastAsia="宋体" w:cs="宋体"/>
        </w:rPr>
        <w:t>L</w:t>
      </w:r>
      <w:r>
        <w:rPr>
          <w:rFonts w:hint="eastAsia" w:ascii="宋体" w:hAnsi="宋体" w:eastAsia="宋体" w:cs="宋体"/>
          <w:vertAlign w:val="superscript"/>
        </w:rPr>
        <w:t>-1</w:t>
      </w:r>
      <w:r>
        <w:rPr>
          <w:rFonts w:hint="eastAsia" w:ascii="宋体" w:hAnsi="宋体" w:eastAsia="宋体" w:cs="宋体"/>
        </w:rPr>
        <w:t>～</w:t>
      </w:r>
      <w:r>
        <w:rPr>
          <w:rFonts w:hint="eastAsia" w:ascii="宋体" w:hAnsi="宋体" w:eastAsia="宋体" w:cs="宋体"/>
          <w:kern w:val="0"/>
        </w:rPr>
        <w:t>1</w:t>
      </w:r>
      <w:r>
        <w:rPr>
          <w:rFonts w:ascii="Times New Roman"/>
        </w:rPr>
        <w:t xml:space="preserve"> </w:t>
      </w:r>
      <w:r>
        <w:rPr>
          <w:rFonts w:hint="eastAsia" w:ascii="宋体" w:hAnsi="宋体" w:eastAsia="宋体" w:cs="宋体"/>
          <w:kern w:val="0"/>
        </w:rPr>
        <w:t>000</w:t>
      </w:r>
      <w:r>
        <w:rPr>
          <w:rFonts w:ascii="Times New Roman"/>
        </w:rPr>
        <w:t xml:space="preserve"> </w:t>
      </w:r>
      <w:r>
        <w:rPr>
          <w:rFonts w:hint="eastAsia" w:ascii="宋体" w:hAnsi="宋体" w:eastAsia="宋体" w:cs="宋体"/>
        </w:rPr>
        <w:t>mg</w:t>
      </w:r>
      <w:r>
        <w:rPr>
          <w:rFonts w:ascii="Times New Roman"/>
        </w:rPr>
        <w:t>·</w:t>
      </w:r>
      <w:r>
        <w:rPr>
          <w:rFonts w:hint="eastAsia" w:ascii="宋体" w:hAnsi="宋体" w:eastAsia="宋体" w:cs="宋体"/>
        </w:rPr>
        <w:t>L</w:t>
      </w:r>
      <w:r>
        <w:rPr>
          <w:rFonts w:hint="eastAsia" w:ascii="宋体" w:hAnsi="宋体" w:eastAsia="宋体" w:cs="宋体"/>
          <w:vertAlign w:val="superscript"/>
        </w:rPr>
        <w:t>-1</w:t>
      </w:r>
      <w:r>
        <w:rPr>
          <w:rFonts w:hint="eastAsia" w:ascii="宋体" w:hAnsi="宋体" w:eastAsia="宋体" w:cs="宋体"/>
          <w:kern w:val="0"/>
        </w:rPr>
        <w:t>。CO</w:t>
      </w:r>
      <w:r>
        <w:rPr>
          <w:rFonts w:hint="eastAsia" w:ascii="宋体" w:hAnsi="宋体" w:eastAsia="宋体" w:cs="宋体"/>
          <w:kern w:val="0"/>
          <w:vertAlign w:val="subscript"/>
        </w:rPr>
        <w:t>2</w:t>
      </w:r>
      <w:r>
        <w:rPr>
          <w:rFonts w:hint="eastAsia" w:ascii="宋体" w:hAnsi="宋体" w:eastAsia="宋体" w:cs="宋体"/>
          <w:kern w:val="0"/>
        </w:rPr>
        <w:t>施肥结束时，应逐渐降低使用浓度、逐渐停止施用。</w:t>
      </w:r>
    </w:p>
    <w:p>
      <w:pPr>
        <w:pStyle w:val="104"/>
        <w:spacing w:before="312" w:after="312"/>
      </w:pPr>
      <w:bookmarkStart w:id="40" w:name="_Toc164872878"/>
      <w:r>
        <w:rPr>
          <w:rFonts w:hint="eastAsia"/>
        </w:rPr>
        <w:t>病虫害防治</w:t>
      </w:r>
      <w:bookmarkEnd w:id="40"/>
    </w:p>
    <w:p>
      <w:pPr>
        <w:widowControl/>
        <w:spacing w:line="360" w:lineRule="auto"/>
        <w:ind w:firstLine="420" w:firstLineChars="200"/>
        <w:jc w:val="left"/>
        <w:rPr>
          <w:kern w:val="0"/>
        </w:rPr>
      </w:pPr>
      <w:r>
        <w:rPr>
          <w:rFonts w:hint="eastAsia"/>
          <w:kern w:val="0"/>
        </w:rPr>
        <w:t>具体防治措施执行</w:t>
      </w:r>
      <w:r>
        <w:rPr>
          <w:rFonts w:hint="eastAsia" w:ascii="宋体" w:hAnsi="宋体" w:eastAsia="宋体" w:cs="宋体"/>
          <w:kern w:val="0"/>
        </w:rPr>
        <w:t>GB/T 23416.2</w:t>
      </w:r>
      <w:r>
        <w:rPr>
          <w:rFonts w:hint="eastAsia"/>
          <w:kern w:val="0"/>
        </w:rPr>
        <w:t>的规定。</w:t>
      </w:r>
    </w:p>
    <w:p>
      <w:pPr>
        <w:pStyle w:val="104"/>
        <w:spacing w:before="312" w:after="312"/>
      </w:pPr>
      <w:bookmarkStart w:id="41" w:name="_Toc164872879"/>
      <w:r>
        <w:rPr>
          <w:rFonts w:hint="eastAsia"/>
        </w:rPr>
        <w:t>采收</w:t>
      </w:r>
      <w:bookmarkEnd w:id="41"/>
    </w:p>
    <w:p>
      <w:pPr>
        <w:widowControl/>
        <w:spacing w:line="360" w:lineRule="auto"/>
        <w:ind w:firstLine="420" w:firstLineChars="200"/>
        <w:jc w:val="left"/>
        <w:rPr>
          <w:kern w:val="0"/>
        </w:rPr>
      </w:pPr>
      <w:r>
        <w:rPr>
          <w:rFonts w:hint="eastAsia"/>
          <w:kern w:val="0"/>
        </w:rPr>
        <w:t>番茄果</w:t>
      </w:r>
      <w:r>
        <w:rPr>
          <w:rFonts w:hint="eastAsia" w:ascii="宋体" w:hAnsi="宋体" w:eastAsia="宋体" w:cs="宋体"/>
          <w:kern w:val="0"/>
        </w:rPr>
        <w:t>面80%左右转红即可采收，长途运销70%左右转红时采收。采收时，选择色泽正常、成熟适度、大小均匀、外观光亮的果实，应轻摘轻放，减少机械损伤。</w:t>
      </w:r>
    </w:p>
    <w:p>
      <w:pPr>
        <w:pStyle w:val="104"/>
        <w:spacing w:before="312" w:after="312"/>
      </w:pPr>
      <w:bookmarkStart w:id="42" w:name="_Toc164872880"/>
      <w:r>
        <w:rPr>
          <w:rFonts w:hint="eastAsia"/>
        </w:rPr>
        <w:t>生产档案</w:t>
      </w:r>
      <w:bookmarkEnd w:id="42"/>
    </w:p>
    <w:p>
      <w:pPr>
        <w:widowControl/>
        <w:spacing w:line="360" w:lineRule="auto"/>
        <w:ind w:firstLine="420" w:firstLineChars="200"/>
        <w:jc w:val="left"/>
        <w:rPr>
          <w:rFonts w:hint="eastAsia" w:ascii="宋体" w:hAnsi="宋体" w:eastAsia="宋体" w:cs="宋体"/>
          <w:kern w:val="0"/>
        </w:rPr>
      </w:pPr>
      <w:r>
        <w:rPr>
          <w:rFonts w:hint="eastAsia"/>
          <w:kern w:val="0"/>
        </w:rPr>
        <w:t>生产过程建立生产档案，包括产品基本情况、农药使用情况、生产肥料使用情况等，并妥善保存， 保存期</w:t>
      </w:r>
      <w:r>
        <w:rPr>
          <w:rFonts w:hint="eastAsia" w:ascii="宋体" w:hAnsi="宋体" w:eastAsia="宋体" w:cs="宋体"/>
          <w:kern w:val="0"/>
        </w:rPr>
        <w:t>为2年以上。参见附录A。</w:t>
      </w:r>
    </w:p>
    <w:p>
      <w:pPr>
        <w:widowControl/>
        <w:spacing w:line="360" w:lineRule="auto"/>
        <w:ind w:firstLine="420" w:firstLineChars="200"/>
        <w:jc w:val="left"/>
        <w:rPr>
          <w:kern w:val="0"/>
        </w:rPr>
      </w:pPr>
    </w:p>
    <w:bookmarkEnd w:id="26"/>
    <w:bookmarkEnd w:id="27"/>
    <w:bookmarkEnd w:id="28"/>
    <w:bookmarkEnd w:id="29"/>
    <w:bookmarkEnd w:id="30"/>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3"/>
    <w:p>
      <w:pPr>
        <w:pStyle w:val="198"/>
        <w:rPr>
          <w:vanish w:val="0"/>
        </w:rPr>
      </w:pPr>
      <w:bookmarkStart w:id="43" w:name="BookMark5"/>
    </w:p>
    <w:p>
      <w:pPr>
        <w:pStyle w:val="199"/>
        <w:rPr>
          <w:vanish w:val="0"/>
        </w:rPr>
      </w:pPr>
    </w:p>
    <w:p>
      <w:pPr>
        <w:pStyle w:val="76"/>
        <w:spacing w:after="156"/>
      </w:pPr>
      <w:bookmarkStart w:id="44" w:name="_Toc164872881"/>
    </w:p>
    <w:p>
      <w:pPr>
        <w:pStyle w:val="76"/>
        <w:spacing w:after="156"/>
      </w:pPr>
      <w:r>
        <w:rPr>
          <w:rFonts w:hint="eastAsia"/>
        </w:rPr>
        <w:t>（资料性）</w:t>
      </w:r>
    </w:p>
    <w:p>
      <w:pPr>
        <w:pStyle w:val="76"/>
        <w:spacing w:after="156"/>
      </w:pPr>
      <w:r>
        <w:rPr>
          <w:rFonts w:hint="eastAsia"/>
        </w:rPr>
        <w:t>生产档案</w:t>
      </w:r>
      <w:bookmarkEnd w:id="44"/>
    </w:p>
    <w:tbl>
      <w:tblPr>
        <w:tblStyle w:val="237"/>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3"/>
        <w:gridCol w:w="817"/>
        <w:gridCol w:w="743"/>
        <w:gridCol w:w="1560"/>
        <w:gridCol w:w="1077"/>
        <w:gridCol w:w="925"/>
        <w:gridCol w:w="1733"/>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kern w:val="0"/>
                <w:szCs w:val="24"/>
              </w:rPr>
            </w:pPr>
            <w:r>
              <w:rPr>
                <w:rFonts w:hint="eastAsia" w:ascii="宋体" w:hAnsi="宋体"/>
                <w:kern w:val="0"/>
                <w:szCs w:val="24"/>
              </w:rPr>
              <w:t>年度</w:t>
            </w:r>
          </w:p>
        </w:tc>
        <w:tc>
          <w:tcPr>
            <w:tcW w:w="817" w:type="dxa"/>
            <w:vAlign w:val="center"/>
          </w:tcPr>
          <w:p>
            <w:pPr>
              <w:spacing w:line="240" w:lineRule="auto"/>
              <w:jc w:val="center"/>
              <w:rPr>
                <w:rFonts w:ascii="宋体" w:hAnsi="宋体"/>
                <w:kern w:val="0"/>
                <w:szCs w:val="24"/>
              </w:rPr>
            </w:pPr>
          </w:p>
        </w:tc>
        <w:tc>
          <w:tcPr>
            <w:tcW w:w="743" w:type="dxa"/>
            <w:vAlign w:val="center"/>
          </w:tcPr>
          <w:p>
            <w:pPr>
              <w:spacing w:line="240" w:lineRule="auto"/>
              <w:jc w:val="center"/>
              <w:rPr>
                <w:rFonts w:ascii="宋体" w:hAnsi="宋体"/>
                <w:kern w:val="0"/>
                <w:szCs w:val="24"/>
              </w:rPr>
            </w:pPr>
            <w:r>
              <w:rPr>
                <w:rFonts w:hint="eastAsia" w:ascii="宋体" w:hAnsi="宋体"/>
                <w:kern w:val="0"/>
                <w:szCs w:val="24"/>
              </w:rPr>
              <w:t>地点</w:t>
            </w:r>
          </w:p>
        </w:tc>
        <w:tc>
          <w:tcPr>
            <w:tcW w:w="1560" w:type="dxa"/>
            <w:vAlign w:val="center"/>
          </w:tcPr>
          <w:p>
            <w:pPr>
              <w:spacing w:line="240" w:lineRule="auto"/>
              <w:jc w:val="center"/>
              <w:rPr>
                <w:rFonts w:ascii="宋体" w:hAnsi="宋体"/>
                <w:kern w:val="0"/>
                <w:szCs w:val="24"/>
              </w:rPr>
            </w:pPr>
          </w:p>
        </w:tc>
        <w:tc>
          <w:tcPr>
            <w:tcW w:w="1077" w:type="dxa"/>
            <w:vAlign w:val="center"/>
          </w:tcPr>
          <w:p>
            <w:pPr>
              <w:spacing w:line="240" w:lineRule="auto"/>
              <w:jc w:val="center"/>
              <w:rPr>
                <w:rFonts w:ascii="宋体" w:hAnsi="宋体"/>
                <w:kern w:val="0"/>
                <w:szCs w:val="24"/>
              </w:rPr>
            </w:pPr>
            <w:r>
              <w:rPr>
                <w:rFonts w:hint="eastAsia" w:ascii="宋体" w:hAnsi="宋体"/>
                <w:kern w:val="0"/>
                <w:szCs w:val="24"/>
              </w:rPr>
              <w:t>种类</w:t>
            </w:r>
          </w:p>
        </w:tc>
        <w:tc>
          <w:tcPr>
            <w:tcW w:w="925" w:type="dxa"/>
            <w:vAlign w:val="center"/>
          </w:tcPr>
          <w:p>
            <w:pPr>
              <w:spacing w:line="240" w:lineRule="auto"/>
              <w:jc w:val="center"/>
              <w:rPr>
                <w:rFonts w:ascii="宋体" w:hAnsi="宋体"/>
                <w:kern w:val="0"/>
                <w:szCs w:val="24"/>
              </w:rPr>
            </w:pPr>
          </w:p>
        </w:tc>
        <w:tc>
          <w:tcPr>
            <w:tcW w:w="1733" w:type="dxa"/>
            <w:vAlign w:val="center"/>
          </w:tcPr>
          <w:p>
            <w:pPr>
              <w:spacing w:line="240" w:lineRule="auto"/>
              <w:jc w:val="center"/>
              <w:rPr>
                <w:rFonts w:ascii="宋体" w:hAnsi="宋体"/>
                <w:kern w:val="0"/>
                <w:szCs w:val="24"/>
              </w:rPr>
            </w:pPr>
            <w:r>
              <w:rPr>
                <w:rFonts w:hint="eastAsia" w:ascii="宋体" w:hAnsi="宋体"/>
                <w:kern w:val="0"/>
                <w:szCs w:val="24"/>
              </w:rPr>
              <w:t>记录人</w:t>
            </w:r>
          </w:p>
        </w:tc>
        <w:tc>
          <w:tcPr>
            <w:tcW w:w="1112" w:type="dxa"/>
            <w:vAlign w:val="center"/>
          </w:tcPr>
          <w:p>
            <w:pPr>
              <w:spacing w:line="240" w:lineRule="auto"/>
              <w:jc w:val="center"/>
              <w:rPr>
                <w:rFonts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8"/>
            <w:vAlign w:val="center"/>
          </w:tcPr>
          <w:p>
            <w:pPr>
              <w:spacing w:line="240" w:lineRule="auto"/>
              <w:jc w:val="left"/>
              <w:rPr>
                <w:rFonts w:ascii="宋体" w:hAnsi="宋体"/>
                <w:kern w:val="0"/>
                <w:szCs w:val="24"/>
              </w:rPr>
            </w:pPr>
            <w:r>
              <w:rPr>
                <w:rFonts w:hint="eastAsia" w:ascii="宋体" w:hAnsi="宋体"/>
                <w:kern w:val="0"/>
                <w:szCs w:val="24"/>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2"/>
            <w:vAlign w:val="center"/>
          </w:tcPr>
          <w:p>
            <w:pPr>
              <w:spacing w:line="240" w:lineRule="auto"/>
              <w:jc w:val="center"/>
              <w:rPr>
                <w:rFonts w:ascii="宋体" w:hAnsi="宋体"/>
                <w:kern w:val="0"/>
                <w:szCs w:val="24"/>
              </w:rPr>
            </w:pPr>
            <w:r>
              <w:rPr>
                <w:rFonts w:hint="eastAsia" w:ascii="宋体" w:hAnsi="宋体"/>
                <w:kern w:val="0"/>
                <w:szCs w:val="24"/>
              </w:rPr>
              <w:t>设施类型</w:t>
            </w:r>
          </w:p>
        </w:tc>
        <w:tc>
          <w:tcPr>
            <w:tcW w:w="2303" w:type="dxa"/>
            <w:gridSpan w:val="2"/>
            <w:vAlign w:val="center"/>
          </w:tcPr>
          <w:p>
            <w:pPr>
              <w:spacing w:line="240" w:lineRule="auto"/>
              <w:jc w:val="center"/>
              <w:rPr>
                <w:rFonts w:ascii="宋体" w:hAnsi="宋体"/>
                <w:kern w:val="0"/>
                <w:szCs w:val="24"/>
              </w:rPr>
            </w:pPr>
          </w:p>
        </w:tc>
        <w:tc>
          <w:tcPr>
            <w:tcW w:w="2002" w:type="dxa"/>
            <w:gridSpan w:val="2"/>
            <w:vAlign w:val="center"/>
          </w:tcPr>
          <w:p>
            <w:pPr>
              <w:spacing w:line="240" w:lineRule="auto"/>
              <w:jc w:val="center"/>
              <w:rPr>
                <w:rFonts w:ascii="宋体" w:hAnsi="宋体"/>
                <w:kern w:val="0"/>
                <w:szCs w:val="24"/>
              </w:rPr>
            </w:pPr>
            <w:r>
              <w:rPr>
                <w:rFonts w:hint="eastAsia" w:ascii="宋体" w:hAnsi="宋体"/>
                <w:kern w:val="0"/>
                <w:szCs w:val="24"/>
              </w:rPr>
              <w:t>品种名称</w:t>
            </w:r>
          </w:p>
        </w:tc>
        <w:tc>
          <w:tcPr>
            <w:tcW w:w="2845" w:type="dxa"/>
            <w:gridSpan w:val="2"/>
            <w:vAlign w:val="center"/>
          </w:tcPr>
          <w:p>
            <w:pPr>
              <w:spacing w:line="240" w:lineRule="auto"/>
              <w:jc w:val="center"/>
              <w:rPr>
                <w:rFonts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2"/>
            <w:vAlign w:val="center"/>
          </w:tcPr>
          <w:p>
            <w:pPr>
              <w:spacing w:line="240" w:lineRule="auto"/>
              <w:jc w:val="center"/>
              <w:rPr>
                <w:rFonts w:ascii="宋体" w:hAnsi="宋体" w:cs="黑体"/>
                <w:szCs w:val="24"/>
              </w:rPr>
            </w:pPr>
            <w:r>
              <w:rPr>
                <w:rFonts w:hint="eastAsia" w:ascii="宋体" w:hAnsi="宋体"/>
                <w:kern w:val="0"/>
                <w:szCs w:val="24"/>
              </w:rPr>
              <w:t>种植面积</w:t>
            </w:r>
          </w:p>
        </w:tc>
        <w:tc>
          <w:tcPr>
            <w:tcW w:w="2303" w:type="dxa"/>
            <w:gridSpan w:val="2"/>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r>
              <w:rPr>
                <w:rFonts w:hint="eastAsia" w:ascii="宋体" w:hAnsi="宋体" w:cs="黑体"/>
                <w:szCs w:val="24"/>
              </w:rPr>
              <w:t>定植时间</w:t>
            </w: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2420" w:type="dxa"/>
            <w:gridSpan w:val="2"/>
            <w:vAlign w:val="center"/>
          </w:tcPr>
          <w:p>
            <w:pPr>
              <w:spacing w:line="240" w:lineRule="auto"/>
              <w:jc w:val="center"/>
              <w:rPr>
                <w:rFonts w:ascii="宋体" w:hAnsi="宋体" w:cs="黑体"/>
                <w:szCs w:val="24"/>
              </w:rPr>
            </w:pPr>
            <w:r>
              <w:rPr>
                <w:rFonts w:hint="eastAsia" w:ascii="宋体" w:hAnsi="宋体" w:cs="黑体"/>
                <w:szCs w:val="24"/>
              </w:rPr>
              <w:t>始收时间</w:t>
            </w:r>
          </w:p>
        </w:tc>
        <w:tc>
          <w:tcPr>
            <w:tcW w:w="2303" w:type="dxa"/>
            <w:gridSpan w:val="2"/>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r>
              <w:rPr>
                <w:rFonts w:hint="eastAsia" w:ascii="宋体" w:hAnsi="宋体" w:cs="黑体"/>
                <w:szCs w:val="24"/>
              </w:rPr>
              <w:t>终收时间</w:t>
            </w: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8"/>
            <w:vAlign w:val="center"/>
          </w:tcPr>
          <w:p>
            <w:pPr>
              <w:spacing w:line="240" w:lineRule="auto"/>
              <w:rPr>
                <w:rFonts w:ascii="宋体" w:hAnsi="宋体" w:cs="黑体"/>
                <w:szCs w:val="24"/>
              </w:rPr>
            </w:pPr>
            <w:r>
              <w:rPr>
                <w:rFonts w:hint="eastAsia" w:ascii="宋体" w:hAnsi="宋体" w:cs="黑体"/>
                <w:szCs w:val="24"/>
              </w:rPr>
              <w:t>二、</w:t>
            </w:r>
            <w:r>
              <w:rPr>
                <w:rFonts w:ascii="Times New Roman" w:hAnsi="Times New Roman"/>
                <w:szCs w:val="24"/>
              </w:rPr>
              <w:t>CO</w:t>
            </w:r>
            <w:r>
              <w:rPr>
                <w:rFonts w:ascii="Times New Roman" w:hAnsi="Times New Roman"/>
                <w:szCs w:val="24"/>
                <w:vertAlign w:val="subscript"/>
              </w:rPr>
              <w:t>2</w:t>
            </w:r>
            <w:r>
              <w:rPr>
                <w:rFonts w:hint="eastAsia" w:ascii="宋体" w:hAnsi="宋体" w:cs="黑体"/>
                <w:szCs w:val="24"/>
              </w:rPr>
              <w:t>施肥情况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r>
              <w:rPr>
                <w:rFonts w:hint="eastAsia" w:ascii="宋体" w:hAnsi="宋体" w:cs="黑体"/>
                <w:szCs w:val="24"/>
              </w:rPr>
              <w:t>日期</w:t>
            </w:r>
          </w:p>
        </w:tc>
        <w:tc>
          <w:tcPr>
            <w:tcW w:w="1560" w:type="dxa"/>
            <w:gridSpan w:val="2"/>
            <w:vAlign w:val="center"/>
          </w:tcPr>
          <w:p>
            <w:pPr>
              <w:spacing w:line="240" w:lineRule="auto"/>
              <w:jc w:val="center"/>
              <w:rPr>
                <w:rFonts w:ascii="宋体" w:hAnsi="宋体" w:cs="黑体"/>
                <w:szCs w:val="24"/>
              </w:rPr>
            </w:pPr>
            <w:r>
              <w:rPr>
                <w:rFonts w:hint="eastAsia" w:ascii="宋体" w:hAnsi="宋体" w:cs="黑体"/>
                <w:szCs w:val="24"/>
              </w:rPr>
              <w:t>施肥时间</w:t>
            </w:r>
          </w:p>
        </w:tc>
        <w:tc>
          <w:tcPr>
            <w:tcW w:w="1560" w:type="dxa"/>
            <w:vAlign w:val="center"/>
          </w:tcPr>
          <w:p>
            <w:pPr>
              <w:spacing w:line="240" w:lineRule="auto"/>
              <w:jc w:val="center"/>
              <w:rPr>
                <w:rFonts w:ascii="宋体" w:hAnsi="宋体" w:cs="黑体"/>
                <w:szCs w:val="24"/>
              </w:rPr>
            </w:pPr>
            <w:r>
              <w:rPr>
                <w:rFonts w:hint="eastAsia" w:ascii="宋体" w:hAnsi="Times New Roman"/>
                <w:szCs w:val="24"/>
              </w:rPr>
              <w:t>施肥浓度</w:t>
            </w:r>
          </w:p>
        </w:tc>
        <w:tc>
          <w:tcPr>
            <w:tcW w:w="2002" w:type="dxa"/>
            <w:gridSpan w:val="2"/>
            <w:vAlign w:val="center"/>
          </w:tcPr>
          <w:p>
            <w:pPr>
              <w:spacing w:line="240" w:lineRule="auto"/>
              <w:jc w:val="center"/>
              <w:rPr>
                <w:rFonts w:ascii="宋体" w:hAnsi="宋体" w:cs="黑体"/>
                <w:szCs w:val="24"/>
              </w:rPr>
            </w:pPr>
            <w:r>
              <w:rPr>
                <w:rFonts w:hint="eastAsia" w:ascii="宋体" w:hAnsi="宋体" w:cs="黑体"/>
                <w:szCs w:val="24"/>
              </w:rPr>
              <w:t>施肥方法</w:t>
            </w:r>
          </w:p>
        </w:tc>
        <w:tc>
          <w:tcPr>
            <w:tcW w:w="2845" w:type="dxa"/>
            <w:gridSpan w:val="2"/>
            <w:vAlign w:val="center"/>
          </w:tcPr>
          <w:p>
            <w:pPr>
              <w:spacing w:line="240" w:lineRule="auto"/>
              <w:jc w:val="center"/>
              <w:rPr>
                <w:rFonts w:ascii="宋体" w:hAnsi="宋体" w:cs="黑体"/>
                <w:szCs w:val="24"/>
              </w:rPr>
            </w:pPr>
            <w:r>
              <w:rPr>
                <w:rFonts w:hint="eastAsia" w:ascii="宋体" w:hAnsi="Times New Roman"/>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2002" w:type="dxa"/>
            <w:gridSpan w:val="2"/>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9570" w:type="dxa"/>
            <w:gridSpan w:val="8"/>
            <w:vAlign w:val="center"/>
          </w:tcPr>
          <w:p>
            <w:pPr>
              <w:spacing w:line="240" w:lineRule="auto"/>
              <w:rPr>
                <w:rFonts w:ascii="宋体" w:hAnsi="宋体" w:cs="黑体"/>
                <w:szCs w:val="24"/>
              </w:rPr>
            </w:pPr>
            <w:r>
              <w:rPr>
                <w:rFonts w:hint="eastAsia" w:ascii="宋体" w:hAnsi="宋体" w:cs="黑体"/>
                <w:szCs w:val="24"/>
              </w:rPr>
              <w:t>三、其他投入品使用情况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r>
              <w:rPr>
                <w:rFonts w:hint="eastAsia" w:ascii="宋体" w:hAnsi="宋体" w:cs="黑体"/>
                <w:szCs w:val="24"/>
              </w:rPr>
              <w:t>使用时间</w:t>
            </w:r>
          </w:p>
        </w:tc>
        <w:tc>
          <w:tcPr>
            <w:tcW w:w="1560" w:type="dxa"/>
            <w:gridSpan w:val="2"/>
            <w:vAlign w:val="center"/>
          </w:tcPr>
          <w:p>
            <w:pPr>
              <w:spacing w:line="240" w:lineRule="auto"/>
              <w:jc w:val="center"/>
              <w:rPr>
                <w:rFonts w:ascii="宋体" w:hAnsi="宋体" w:cs="黑体"/>
                <w:szCs w:val="24"/>
              </w:rPr>
            </w:pPr>
            <w:r>
              <w:rPr>
                <w:rFonts w:hint="eastAsia" w:ascii="宋体" w:hAnsi="宋体" w:cs="黑体"/>
                <w:szCs w:val="24"/>
              </w:rPr>
              <w:t>投入品名称</w:t>
            </w:r>
          </w:p>
        </w:tc>
        <w:tc>
          <w:tcPr>
            <w:tcW w:w="1560" w:type="dxa"/>
            <w:vAlign w:val="center"/>
          </w:tcPr>
          <w:p>
            <w:pPr>
              <w:spacing w:line="240" w:lineRule="auto"/>
              <w:jc w:val="center"/>
              <w:rPr>
                <w:rFonts w:ascii="宋体" w:hAnsi="宋体" w:cs="黑体"/>
                <w:szCs w:val="24"/>
              </w:rPr>
            </w:pPr>
            <w:r>
              <w:rPr>
                <w:rFonts w:hint="eastAsia" w:ascii="宋体" w:hAnsi="宋体" w:cs="黑体"/>
                <w:szCs w:val="24"/>
              </w:rPr>
              <w:t>使用目的</w:t>
            </w:r>
          </w:p>
        </w:tc>
        <w:tc>
          <w:tcPr>
            <w:tcW w:w="1077" w:type="dxa"/>
            <w:vAlign w:val="center"/>
          </w:tcPr>
          <w:p>
            <w:pPr>
              <w:spacing w:line="240" w:lineRule="auto"/>
              <w:jc w:val="center"/>
              <w:rPr>
                <w:rFonts w:ascii="宋体" w:hAnsi="宋体" w:cs="黑体"/>
                <w:szCs w:val="24"/>
              </w:rPr>
            </w:pPr>
            <w:r>
              <w:rPr>
                <w:rFonts w:hint="eastAsia" w:ascii="宋体" w:hAnsi="宋体" w:cs="黑体"/>
                <w:szCs w:val="24"/>
              </w:rPr>
              <w:t>使用方法</w:t>
            </w:r>
          </w:p>
        </w:tc>
        <w:tc>
          <w:tcPr>
            <w:tcW w:w="925" w:type="dxa"/>
            <w:vAlign w:val="center"/>
          </w:tcPr>
          <w:p>
            <w:pPr>
              <w:spacing w:line="240" w:lineRule="auto"/>
              <w:jc w:val="center"/>
              <w:rPr>
                <w:rFonts w:ascii="宋体" w:hAnsi="宋体" w:cs="黑体"/>
                <w:szCs w:val="24"/>
              </w:rPr>
            </w:pPr>
            <w:r>
              <w:rPr>
                <w:rFonts w:hint="eastAsia" w:ascii="宋体" w:hAnsi="宋体" w:cs="黑体"/>
                <w:szCs w:val="24"/>
              </w:rPr>
              <w:t>使用量</w:t>
            </w:r>
          </w:p>
        </w:tc>
        <w:tc>
          <w:tcPr>
            <w:tcW w:w="2845" w:type="dxa"/>
            <w:gridSpan w:val="2"/>
            <w:vAlign w:val="center"/>
          </w:tcPr>
          <w:p>
            <w:pPr>
              <w:spacing w:line="240" w:lineRule="auto"/>
              <w:jc w:val="center"/>
              <w:rPr>
                <w:rFonts w:ascii="宋体" w:hAnsi="宋体" w:cs="黑体"/>
                <w:szCs w:val="24"/>
              </w:rPr>
            </w:pPr>
            <w:r>
              <w:rPr>
                <w:rFonts w:hint="eastAsia" w:ascii="宋体" w:hAnsi="宋体" w:cs="黑体"/>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603" w:type="dxa"/>
            <w:vAlign w:val="center"/>
          </w:tcPr>
          <w:p>
            <w:pPr>
              <w:spacing w:line="240" w:lineRule="auto"/>
              <w:jc w:val="center"/>
              <w:rPr>
                <w:rFonts w:ascii="宋体" w:hAnsi="宋体" w:cs="黑体"/>
                <w:szCs w:val="24"/>
              </w:rPr>
            </w:pPr>
          </w:p>
        </w:tc>
        <w:tc>
          <w:tcPr>
            <w:tcW w:w="1560" w:type="dxa"/>
            <w:gridSpan w:val="2"/>
            <w:vAlign w:val="center"/>
          </w:tcPr>
          <w:p>
            <w:pPr>
              <w:spacing w:line="240" w:lineRule="auto"/>
              <w:jc w:val="center"/>
              <w:rPr>
                <w:rFonts w:ascii="宋体" w:hAnsi="宋体" w:cs="黑体"/>
                <w:szCs w:val="24"/>
              </w:rPr>
            </w:pPr>
          </w:p>
        </w:tc>
        <w:tc>
          <w:tcPr>
            <w:tcW w:w="1560" w:type="dxa"/>
            <w:vAlign w:val="center"/>
          </w:tcPr>
          <w:p>
            <w:pPr>
              <w:spacing w:line="240" w:lineRule="auto"/>
              <w:jc w:val="center"/>
              <w:rPr>
                <w:rFonts w:ascii="宋体" w:hAnsi="宋体" w:cs="黑体"/>
                <w:szCs w:val="24"/>
              </w:rPr>
            </w:pPr>
          </w:p>
        </w:tc>
        <w:tc>
          <w:tcPr>
            <w:tcW w:w="1077" w:type="dxa"/>
            <w:vAlign w:val="center"/>
          </w:tcPr>
          <w:p>
            <w:pPr>
              <w:spacing w:line="240" w:lineRule="auto"/>
              <w:jc w:val="center"/>
              <w:rPr>
                <w:rFonts w:ascii="宋体" w:hAnsi="宋体" w:cs="黑体"/>
                <w:szCs w:val="24"/>
              </w:rPr>
            </w:pPr>
          </w:p>
        </w:tc>
        <w:tc>
          <w:tcPr>
            <w:tcW w:w="925" w:type="dxa"/>
            <w:vAlign w:val="center"/>
          </w:tcPr>
          <w:p>
            <w:pPr>
              <w:spacing w:line="240" w:lineRule="auto"/>
              <w:jc w:val="center"/>
              <w:rPr>
                <w:rFonts w:ascii="宋体" w:hAnsi="宋体" w:cs="黑体"/>
                <w:szCs w:val="24"/>
              </w:rPr>
            </w:pPr>
          </w:p>
        </w:tc>
        <w:tc>
          <w:tcPr>
            <w:tcW w:w="2845" w:type="dxa"/>
            <w:gridSpan w:val="2"/>
            <w:vAlign w:val="center"/>
          </w:tcPr>
          <w:p>
            <w:pPr>
              <w:spacing w:line="240" w:lineRule="auto"/>
              <w:jc w:val="center"/>
              <w:rPr>
                <w:rFonts w:ascii="宋体" w:hAnsi="宋体" w:cs="黑体"/>
                <w:szCs w:val="24"/>
              </w:rPr>
            </w:pPr>
          </w:p>
        </w:tc>
      </w:tr>
    </w:tbl>
    <w:p>
      <w:pPr>
        <w:pStyle w:val="56"/>
        <w:ind w:firstLine="420"/>
      </w:pPr>
    </w:p>
    <w:p>
      <w:pPr>
        <w:pStyle w:val="56"/>
        <w:ind w:firstLine="420"/>
      </w:pPr>
    </w:p>
    <w:p>
      <w:pPr>
        <w:pStyle w:val="56"/>
        <w:ind w:firstLine="420"/>
      </w:pPr>
    </w:p>
    <w:bookmarkEnd w:id="43"/>
    <w:p>
      <w:pPr>
        <w:pStyle w:val="56"/>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 w:name="Bahnschrift SemiBold SemiCondensed">
    <w:panose1 w:val="020B0502040204020203"/>
    <w:charset w:val="00"/>
    <w:family w:val="auto"/>
    <w:pitch w:val="default"/>
    <w:sig w:usb0="A00002C7" w:usb1="00000002" w:usb2="00000000" w:usb3="00000000" w:csb0="2000019F" w:csb1="00000000"/>
  </w:font>
  <w:font w:name="PMingLiU-ExtB">
    <w:panose1 w:val="02020500000000000000"/>
    <w:charset w:val="88"/>
    <w:family w:val="auto"/>
    <w:pitch w:val="default"/>
    <w:sig w:usb0="8000002F" w:usb1="02000008" w:usb2="00000000" w:usb3="00000000" w:csb0="00100001" w:csb1="00000000"/>
  </w:font>
  <w:font w:name="Arial Black">
    <w:panose1 w:val="020B0A04020102020204"/>
    <w:charset w:val="00"/>
    <w:family w:val="auto"/>
    <w:pitch w:val="default"/>
    <w:sig w:usb0="A00002AF" w:usb1="400078FB" w:usb2="00000000" w:usb3="00000000" w:csb0="6000009F" w:csb1="DFD70000"/>
  </w:font>
  <w:font w:name="Yu Gothic UI Semilight">
    <w:panose1 w:val="020B04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Microsoft YaHei UI">
    <w:panose1 w:val="020B0503020204020204"/>
    <w:charset w:val="86"/>
    <w:family w:val="auto"/>
    <w:pitch w:val="default"/>
    <w:sig w:usb0="80000287" w:usb1="2ACF3C50" w:usb2="00000016" w:usb3="00000000" w:csb0="0004001F" w:csb1="00000000"/>
  </w:font>
  <w:font w:name="Adobe 黑体 Std R">
    <w:panose1 w:val="020B0400000000000000"/>
    <w:charset w:val="86"/>
    <w:family w:val="auto"/>
    <w:pitch w:val="default"/>
    <w:sig w:usb0="00000001" w:usb1="0A0F1810" w:usb2="00000016" w:usb3="00000000" w:csb0="00060007" w:csb1="0000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wordWrap w:val="0"/>
    </w:pPr>
    <w:r>
      <w:rPr>
        <w:rFonts w:hint="eastAsia"/>
      </w:rPr>
      <w:t>DB14/T</w:t>
    </w:r>
    <w:r>
      <w:t xml:space="preserve"> </w:t>
    </w:r>
    <w:r>
      <w:rPr>
        <w:rFonts w:hint="eastAsia"/>
      </w:rPr>
      <w:t>1289—2024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14/T 1289—2024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0"/>
      <w:suff w:val="nothing"/>
      <w:lvlText w:val="%1　"/>
      <w:lvlJc w:val="left"/>
      <w:pPr>
        <w:ind w:left="1277"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34"/>
      <w:suff w:val="nothing"/>
      <w:lvlText w:val="%1.%2.%3.%4　"/>
      <w:lvlJc w:val="left"/>
      <w:pPr>
        <w:ind w:left="0" w:firstLine="0"/>
      </w:pPr>
      <w:rPr>
        <w:rFonts w:hint="eastAsia" w:ascii="黑体" w:hAnsi="Times New Roman" w:eastAsia="黑体"/>
        <w:b w:val="0"/>
        <w:i w:val="0"/>
        <w:sz w:val="21"/>
      </w:rPr>
    </w:lvl>
    <w:lvl w:ilvl="4" w:tentative="0">
      <w:start w:val="1"/>
      <w:numFmt w:val="decimal"/>
      <w:pStyle w:val="235"/>
      <w:suff w:val="nothing"/>
      <w:lvlText w:val="%1.%2.%3.%4.%5　"/>
      <w:lvlJc w:val="left"/>
      <w:pPr>
        <w:ind w:left="0" w:firstLine="0"/>
      </w:pPr>
      <w:rPr>
        <w:rFonts w:hint="eastAsia" w:ascii="黑体" w:hAnsi="Times New Roman" w:eastAsia="黑体"/>
        <w:b w:val="0"/>
        <w:i w:val="0"/>
        <w:sz w:val="21"/>
      </w:rPr>
    </w:lvl>
    <w:lvl w:ilvl="5" w:tentative="0">
      <w:start w:val="1"/>
      <w:numFmt w:val="decimal"/>
      <w:pStyle w:val="23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4"/>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xOGRkYzc4NDk5MWI1NmUxY2FmYWJlNGUwYWIwMmUifQ=="/>
  </w:docVars>
  <w:rsids>
    <w:rsidRoot w:val="00A41F46"/>
    <w:rsid w:val="0000040A"/>
    <w:rsid w:val="00000A94"/>
    <w:rsid w:val="00001972"/>
    <w:rsid w:val="00001D9A"/>
    <w:rsid w:val="00007B3A"/>
    <w:rsid w:val="000107E0"/>
    <w:rsid w:val="00011FDE"/>
    <w:rsid w:val="00012FFD"/>
    <w:rsid w:val="00014162"/>
    <w:rsid w:val="00014340"/>
    <w:rsid w:val="00016A9C"/>
    <w:rsid w:val="00022184"/>
    <w:rsid w:val="00022762"/>
    <w:rsid w:val="00022981"/>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028F"/>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134F"/>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065"/>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1EA3"/>
    <w:rsid w:val="00445574"/>
    <w:rsid w:val="004467FB"/>
    <w:rsid w:val="00452D6B"/>
    <w:rsid w:val="00454484"/>
    <w:rsid w:val="0045517B"/>
    <w:rsid w:val="00463B77"/>
    <w:rsid w:val="00463C7B"/>
    <w:rsid w:val="004644A6"/>
    <w:rsid w:val="004659BD"/>
    <w:rsid w:val="00470775"/>
    <w:rsid w:val="004746B1"/>
    <w:rsid w:val="0047583F"/>
    <w:rsid w:val="00475DE8"/>
    <w:rsid w:val="0048193B"/>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1D7"/>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70B1"/>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33F"/>
    <w:rsid w:val="009D47FA"/>
    <w:rsid w:val="009D4C5B"/>
    <w:rsid w:val="009D50D2"/>
    <w:rsid w:val="009D6BCA"/>
    <w:rsid w:val="009E0F62"/>
    <w:rsid w:val="009E3F31"/>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1F46"/>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0D5B"/>
    <w:rsid w:val="00D51BF3"/>
    <w:rsid w:val="00D57E4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0CD30DE"/>
    <w:rsid w:val="18611F18"/>
    <w:rsid w:val="45D7058C"/>
    <w:rsid w:val="66980637"/>
    <w:rsid w:val="68AD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autoRedefine/>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uiPriority w:val="0"/>
    <w:rPr>
      <w:rFonts w:ascii="宋体" w:hAnsi="Times New Roman" w:eastAsia="宋体"/>
      <w:sz w:val="18"/>
    </w:rPr>
  </w:style>
  <w:style w:type="character" w:styleId="31">
    <w:name w:val="Emphasis"/>
    <w:autoRedefine/>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autoRedefine/>
    <w:qFormat/>
    <w:uiPriority w:val="99"/>
    <w:rPr>
      <w:rFonts w:ascii="宋体"/>
      <w:kern w:val="2"/>
      <w:sz w:val="18"/>
      <w:szCs w:val="18"/>
    </w:rPr>
  </w:style>
  <w:style w:type="character" w:customStyle="1" w:styleId="45">
    <w:name w:val="批注框文本 字符"/>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autoRedefine/>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autoRedefine/>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autoRedefine/>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autoRedefine/>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章标题"/>
    <w:next w:val="231"/>
    <w:autoRedefine/>
    <w:qFormat/>
    <w:uiPriority w:val="0"/>
    <w:pPr>
      <w:numPr>
        <w:ilvl w:val="0"/>
        <w:numId w:val="32"/>
      </w:numPr>
      <w:spacing w:before="312" w:beforeLines="100" w:after="312" w:afterLines="100"/>
      <w:ind w:left="0"/>
      <w:jc w:val="both"/>
      <w:outlineLvl w:val="1"/>
    </w:pPr>
    <w:rPr>
      <w:rFonts w:ascii="黑体" w:hAnsi="Times New Roman" w:eastAsia="黑体" w:cs="Times New Roman"/>
      <w:sz w:val="21"/>
      <w:lang w:val="en-US" w:eastAsia="zh-CN" w:bidi="ar-SA"/>
    </w:rPr>
  </w:style>
  <w:style w:type="paragraph" w:customStyle="1" w:styleId="231">
    <w:name w:val="段"/>
    <w:link w:val="23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autoRedefine/>
    <w:qFormat/>
    <w:uiPriority w:val="0"/>
    <w:rPr>
      <w:rFonts w:ascii="宋体" w:hAnsi="Times New Roman"/>
      <w:sz w:val="21"/>
    </w:rPr>
  </w:style>
  <w:style w:type="paragraph" w:customStyle="1" w:styleId="233">
    <w:name w:val="一级条标题"/>
    <w:next w:val="231"/>
    <w:autoRedefine/>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三级条标题"/>
    <w:basedOn w:val="1"/>
    <w:next w:val="231"/>
    <w:autoRedefine/>
    <w:qFormat/>
    <w:uiPriority w:val="0"/>
    <w:pPr>
      <w:widowControl/>
      <w:numPr>
        <w:ilvl w:val="3"/>
        <w:numId w:val="32"/>
      </w:numPr>
      <w:adjustRightInd/>
      <w:spacing w:before="156" w:beforeLines="50" w:after="156" w:afterLines="50" w:line="360" w:lineRule="auto"/>
      <w:ind w:firstLine="200" w:firstLineChars="200"/>
      <w:jc w:val="left"/>
      <w:outlineLvl w:val="4"/>
    </w:pPr>
    <w:rPr>
      <w:rFonts w:ascii="黑体" w:hAnsi="Times New Roman" w:eastAsia="黑体"/>
      <w:kern w:val="0"/>
    </w:rPr>
  </w:style>
  <w:style w:type="paragraph" w:customStyle="1" w:styleId="235">
    <w:name w:val="四级条标题"/>
    <w:basedOn w:val="234"/>
    <w:next w:val="231"/>
    <w:autoRedefine/>
    <w:qFormat/>
    <w:uiPriority w:val="0"/>
    <w:pPr>
      <w:numPr>
        <w:ilvl w:val="4"/>
      </w:numPr>
      <w:outlineLvl w:val="5"/>
    </w:pPr>
  </w:style>
  <w:style w:type="paragraph" w:customStyle="1" w:styleId="236">
    <w:name w:val="五级条标题"/>
    <w:basedOn w:val="235"/>
    <w:next w:val="231"/>
    <w:autoRedefine/>
    <w:qFormat/>
    <w:uiPriority w:val="0"/>
    <w:pPr>
      <w:numPr>
        <w:ilvl w:val="5"/>
      </w:numPr>
      <w:outlineLvl w:val="6"/>
    </w:pPr>
  </w:style>
  <w:style w:type="table" w:customStyle="1" w:styleId="237">
    <w:name w:val="网格型1"/>
    <w:basedOn w:val="26"/>
    <w:autoRedefine/>
    <w:qFormat/>
    <w:uiPriority w:val="0"/>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7AC1FEFCA3F41048562017432B39F2D"/>
        <w:style w:val=""/>
        <w:category>
          <w:name w:val="常规"/>
          <w:gallery w:val="placeholder"/>
        </w:category>
        <w:types>
          <w:type w:val="bbPlcHdr"/>
        </w:types>
        <w:behaviors>
          <w:behavior w:val="content"/>
        </w:behaviors>
        <w:description w:val=""/>
        <w:guid w:val="{9A771ED7-7F8F-4235-A2F7-48C87401F494}"/>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BF5"/>
    <w:rsid w:val="001A7BF5"/>
    <w:rsid w:val="007534CF"/>
    <w:rsid w:val="00762D01"/>
    <w:rsid w:val="0076320E"/>
    <w:rsid w:val="0092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57AC1FEFCA3F41048562017432B39F2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7B8CB21720947598A811694BB2C5D1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79F393B535E42CFAF3E1A003E055CC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9BF2FF-EDB1-4619-B20A-75D698761782}">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3231</Words>
  <Characters>3786</Characters>
  <Lines>39</Lines>
  <Paragraphs>11</Paragraphs>
  <TotalTime>18</TotalTime>
  <ScaleCrop>false</ScaleCrop>
  <LinksUpToDate>false</LinksUpToDate>
  <CharactersWithSpaces>4024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2024-04-24T09:01:00Z</dcterms:created>
  <dc:creator>hrj</dc:creator>
  <dc:description>&lt;config cover="true" show_menu="true" version="1.0.0" doctype="SDKXY"&gt;_x000d_
&lt;/config&gt;</dc:description>
  <cp:lastModifiedBy>一杯柠檬水，常温不加糖。</cp:lastModifiedBy>
  <cp:lastPrinted>2024-04-24T10:37:00Z</cp:lastPrinted>
  <dcterms:modified xsi:type="dcterms:W3CDTF">2024-05-15T04:19:07Z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D3E68D7E6D2C4A12B1F54F00184BFE20_12</vt:lpwstr>
  </property>
</Properties>
</file>